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D4F1" w14:textId="545D6D41" w:rsidR="009C1FBF" w:rsidRDefault="004D720C">
      <w:pPr>
        <w:rPr>
          <w:b/>
          <w:lang w:val="en-US"/>
        </w:rPr>
      </w:pPr>
      <w:r w:rsidRPr="004D720C">
        <w:rPr>
          <w:b/>
          <w:lang w:val="en-US"/>
        </w:rPr>
        <w:t>202</w:t>
      </w:r>
      <w:r w:rsidR="00733E6F">
        <w:rPr>
          <w:b/>
          <w:lang w:val="en-US"/>
        </w:rPr>
        <w:t>4</w:t>
      </w:r>
      <w:r w:rsidRPr="004D720C">
        <w:rPr>
          <w:b/>
          <w:lang w:val="en-US"/>
        </w:rPr>
        <w:t>/202</w:t>
      </w:r>
      <w:r w:rsidR="00733E6F">
        <w:rPr>
          <w:b/>
          <w:lang w:val="en-US"/>
        </w:rPr>
        <w:t>5</w:t>
      </w:r>
      <w:r w:rsidRPr="004D720C">
        <w:rPr>
          <w:b/>
          <w:lang w:val="en-US"/>
        </w:rPr>
        <w:t xml:space="preserve"> </w:t>
      </w:r>
      <w:r w:rsidR="00562565">
        <w:rPr>
          <w:b/>
          <w:lang w:val="en-US"/>
        </w:rPr>
        <w:t>Trustees Report</w:t>
      </w:r>
    </w:p>
    <w:p w14:paraId="0B3DA7A1" w14:textId="255527B5" w:rsidR="0047031D" w:rsidRDefault="007751A9" w:rsidP="0047031D">
      <w:pPr>
        <w:spacing w:before="60" w:after="60" w:line="240" w:lineRule="auto"/>
        <w:rPr>
          <w:rFonts w:cs="Arial"/>
        </w:rPr>
      </w:pPr>
      <w:r w:rsidRPr="007751A9">
        <w:rPr>
          <w:rFonts w:cstheme="minorHAnsi"/>
        </w:rPr>
        <w:t xml:space="preserve">Disability Advice </w:t>
      </w:r>
      <w:proofErr w:type="gramStart"/>
      <w:r w:rsidRPr="007751A9">
        <w:rPr>
          <w:rFonts w:cstheme="minorHAnsi"/>
        </w:rPr>
        <w:t>North East</w:t>
      </w:r>
      <w:proofErr w:type="gramEnd"/>
      <w:r w:rsidRPr="007751A9">
        <w:rPr>
          <w:rFonts w:cstheme="minorHAnsi"/>
        </w:rPr>
        <w:t xml:space="preserve"> Suffolk is a Disabled Persons</w:t>
      </w:r>
      <w:r w:rsidR="0047031D">
        <w:rPr>
          <w:rFonts w:cstheme="minorHAnsi"/>
        </w:rPr>
        <w:t>’</w:t>
      </w:r>
      <w:r w:rsidRPr="007751A9">
        <w:rPr>
          <w:rFonts w:cstheme="minorHAnsi"/>
        </w:rPr>
        <w:t xml:space="preserve"> Organisation whose mission is to be the ‘go to’ charity for people &amp; organisations in </w:t>
      </w:r>
      <w:proofErr w:type="gramStart"/>
      <w:r w:rsidRPr="007751A9">
        <w:rPr>
          <w:rFonts w:cstheme="minorHAnsi"/>
        </w:rPr>
        <w:t>North East</w:t>
      </w:r>
      <w:proofErr w:type="gramEnd"/>
      <w:r w:rsidRPr="007751A9">
        <w:rPr>
          <w:rFonts w:cstheme="minorHAnsi"/>
        </w:rPr>
        <w:t xml:space="preserve"> Suffolk seeking to </w:t>
      </w:r>
      <w:r w:rsidRPr="007751A9">
        <w:rPr>
          <w:rFonts w:cstheme="minorHAnsi"/>
          <w:b/>
          <w:bCs/>
        </w:rPr>
        <w:t>enable</w:t>
      </w:r>
      <w:r w:rsidRPr="007751A9">
        <w:rPr>
          <w:rFonts w:cstheme="minorHAnsi"/>
        </w:rPr>
        <w:t xml:space="preserve">, </w:t>
      </w:r>
      <w:r w:rsidRPr="007751A9">
        <w:rPr>
          <w:rFonts w:cstheme="minorHAnsi"/>
          <w:b/>
          <w:bCs/>
        </w:rPr>
        <w:t xml:space="preserve">inform </w:t>
      </w:r>
      <w:r w:rsidRPr="007751A9">
        <w:rPr>
          <w:rFonts w:cstheme="minorHAnsi"/>
        </w:rPr>
        <w:t xml:space="preserve">&amp; </w:t>
      </w:r>
      <w:r w:rsidRPr="007751A9">
        <w:rPr>
          <w:rFonts w:cstheme="minorHAnsi"/>
          <w:b/>
          <w:bCs/>
        </w:rPr>
        <w:t>effect change</w:t>
      </w:r>
      <w:r w:rsidRPr="007751A9">
        <w:rPr>
          <w:rFonts w:cstheme="minorHAnsi"/>
        </w:rPr>
        <w:t xml:space="preserve"> for those who are living with disabilities.</w:t>
      </w:r>
      <w:r w:rsidR="0047031D" w:rsidRPr="0047031D">
        <w:rPr>
          <w:rFonts w:cs="Arial"/>
        </w:rPr>
        <w:t xml:space="preserve"> </w:t>
      </w:r>
      <w:r w:rsidR="0047031D" w:rsidRPr="00F2775A">
        <w:rPr>
          <w:rFonts w:cs="Arial"/>
        </w:rPr>
        <w:t xml:space="preserve">Over 80% of current trustees have lived experience of disability, many from birth, so understand what life for someone with a disability can be when faced with societal barriers. All of them </w:t>
      </w:r>
      <w:r w:rsidR="0047031D">
        <w:rPr>
          <w:rFonts w:cs="Arial"/>
        </w:rPr>
        <w:t xml:space="preserve">are part of the local community, </w:t>
      </w:r>
      <w:r w:rsidR="0047031D" w:rsidRPr="00F2775A">
        <w:rPr>
          <w:rFonts w:cs="Arial"/>
        </w:rPr>
        <w:t>have had successful careers and use th</w:t>
      </w:r>
      <w:r w:rsidR="0047031D">
        <w:rPr>
          <w:rFonts w:cs="Arial"/>
        </w:rPr>
        <w:t xml:space="preserve">eir knowledge and </w:t>
      </w:r>
      <w:r w:rsidR="0047031D" w:rsidRPr="00F2775A">
        <w:rPr>
          <w:rFonts w:cs="Arial"/>
        </w:rPr>
        <w:t>skills to good effect in steering the direction of the Charity.</w:t>
      </w:r>
      <w:r w:rsidR="0047031D">
        <w:rPr>
          <w:rFonts w:cs="Arial"/>
        </w:rPr>
        <w:t xml:space="preserve"> </w:t>
      </w:r>
    </w:p>
    <w:p w14:paraId="36A248A3" w14:textId="57549092" w:rsidR="007751A9" w:rsidRPr="007751A9" w:rsidRDefault="007751A9" w:rsidP="007751A9">
      <w:pPr>
        <w:rPr>
          <w:rFonts w:cstheme="minorHAnsi"/>
        </w:rPr>
      </w:pPr>
      <w:r w:rsidRPr="007751A9">
        <w:rPr>
          <w:rFonts w:cstheme="minorHAnsi"/>
        </w:rPr>
        <w:t xml:space="preserve"> Our mission is:</w:t>
      </w:r>
    </w:p>
    <w:p w14:paraId="0AC97042" w14:textId="77777777" w:rsidR="007751A9" w:rsidRPr="007751A9" w:rsidRDefault="007751A9" w:rsidP="007751A9">
      <w:pPr>
        <w:pStyle w:val="ListParagraph"/>
        <w:numPr>
          <w:ilvl w:val="0"/>
          <w:numId w:val="5"/>
        </w:numPr>
        <w:rPr>
          <w:rFonts w:cstheme="minorHAnsi"/>
        </w:rPr>
      </w:pPr>
      <w:r w:rsidRPr="007751A9">
        <w:rPr>
          <w:rFonts w:cstheme="minorHAnsi"/>
        </w:rPr>
        <w:t>To enable people to overcome the day-to-day challenges &amp; problems presented by their disabilities so that they can live full lives as equal members of the community.</w:t>
      </w:r>
    </w:p>
    <w:p w14:paraId="6CE43BB0" w14:textId="77777777" w:rsidR="007751A9" w:rsidRPr="007751A9" w:rsidRDefault="007751A9" w:rsidP="007751A9">
      <w:pPr>
        <w:pStyle w:val="ListParagraph"/>
        <w:numPr>
          <w:ilvl w:val="0"/>
          <w:numId w:val="5"/>
        </w:numPr>
        <w:rPr>
          <w:rFonts w:cstheme="minorHAnsi"/>
        </w:rPr>
      </w:pPr>
      <w:r w:rsidRPr="007751A9">
        <w:rPr>
          <w:rFonts w:cstheme="minorHAnsi"/>
        </w:rPr>
        <w:t>To listen to the disabled community to identify local needs &amp; demands &amp; then to provide timely, high-quality, personalised information, advice &amp; support to improve their economic &amp; social well-being.</w:t>
      </w:r>
    </w:p>
    <w:p w14:paraId="0AD2B31F" w14:textId="77777777" w:rsidR="007751A9" w:rsidRPr="007751A9" w:rsidRDefault="007751A9" w:rsidP="007751A9">
      <w:pPr>
        <w:pStyle w:val="ListParagraph"/>
        <w:numPr>
          <w:ilvl w:val="0"/>
          <w:numId w:val="5"/>
        </w:numPr>
        <w:rPr>
          <w:rFonts w:cstheme="minorHAnsi"/>
        </w:rPr>
      </w:pPr>
      <w:r w:rsidRPr="007751A9">
        <w:rPr>
          <w:rFonts w:cstheme="minorHAnsi"/>
        </w:rPr>
        <w:t>To work in partnership with other local charities &amp; statutory organisations to exchange information &amp; advice, to break down barriers that lead to discrimination &amp; to influence &amp; effect change for the better.</w:t>
      </w:r>
    </w:p>
    <w:p w14:paraId="1C85F27D" w14:textId="2E6FFC0B" w:rsidR="000F754D" w:rsidRDefault="000F754D" w:rsidP="007751A9">
      <w:pPr>
        <w:rPr>
          <w:bCs/>
          <w:lang w:val="en-US"/>
        </w:rPr>
      </w:pPr>
      <w:r>
        <w:rPr>
          <w:bCs/>
          <w:lang w:val="en-US"/>
        </w:rPr>
        <w:t xml:space="preserve">What follows highlights our achievements </w:t>
      </w:r>
      <w:r w:rsidR="007751A9">
        <w:rPr>
          <w:bCs/>
          <w:lang w:val="en-US"/>
        </w:rPr>
        <w:t>in fulfilling that mission in</w:t>
      </w:r>
      <w:r>
        <w:rPr>
          <w:bCs/>
          <w:lang w:val="en-US"/>
        </w:rPr>
        <w:t xml:space="preserve"> 2</w:t>
      </w:r>
      <w:r w:rsidR="000D30B3">
        <w:rPr>
          <w:bCs/>
          <w:lang w:val="en-US"/>
        </w:rPr>
        <w:t>4</w:t>
      </w:r>
      <w:r>
        <w:rPr>
          <w:bCs/>
          <w:lang w:val="en-US"/>
        </w:rPr>
        <w:t>/2</w:t>
      </w:r>
      <w:r w:rsidR="000D30B3">
        <w:rPr>
          <w:bCs/>
          <w:lang w:val="en-US"/>
        </w:rPr>
        <w:t>5</w:t>
      </w:r>
      <w:r w:rsidR="003B265D">
        <w:rPr>
          <w:bCs/>
          <w:lang w:val="en-US"/>
        </w:rPr>
        <w:t xml:space="preserve"> and demonstrates </w:t>
      </w:r>
      <w:r w:rsidR="00B85EA9">
        <w:rPr>
          <w:bCs/>
          <w:lang w:val="en-US"/>
        </w:rPr>
        <w:t xml:space="preserve">some of </w:t>
      </w:r>
      <w:r w:rsidR="003B265D">
        <w:rPr>
          <w:bCs/>
          <w:lang w:val="en-US"/>
        </w:rPr>
        <w:t>the wide range of services we offer.</w:t>
      </w:r>
    </w:p>
    <w:p w14:paraId="26C31733" w14:textId="2C3ADB40" w:rsidR="00341489" w:rsidRDefault="00DB69A4" w:rsidP="00562565">
      <w:pPr>
        <w:pStyle w:val="Default"/>
        <w:rPr>
          <w:sz w:val="22"/>
          <w:szCs w:val="22"/>
        </w:rPr>
      </w:pPr>
      <w:proofErr w:type="gramStart"/>
      <w:r>
        <w:rPr>
          <w:sz w:val="22"/>
          <w:szCs w:val="22"/>
        </w:rPr>
        <w:t>The majority of</w:t>
      </w:r>
      <w:proofErr w:type="gramEnd"/>
      <w:r>
        <w:rPr>
          <w:sz w:val="22"/>
          <w:szCs w:val="22"/>
        </w:rPr>
        <w:t xml:space="preserve"> our clients need </w:t>
      </w:r>
      <w:r w:rsidRPr="0096070F">
        <w:rPr>
          <w:b/>
          <w:bCs/>
          <w:sz w:val="22"/>
          <w:szCs w:val="22"/>
        </w:rPr>
        <w:t>advice and assistance with benefit claims</w:t>
      </w:r>
      <w:r>
        <w:rPr>
          <w:sz w:val="22"/>
          <w:szCs w:val="22"/>
        </w:rPr>
        <w:t xml:space="preserve"> such as Personal Independence Payment</w:t>
      </w:r>
      <w:r w:rsidR="00936704">
        <w:rPr>
          <w:sz w:val="22"/>
          <w:szCs w:val="22"/>
        </w:rPr>
        <w:t xml:space="preserve"> (PIP</w:t>
      </w:r>
      <w:proofErr w:type="gramStart"/>
      <w:r w:rsidR="00936704">
        <w:rPr>
          <w:sz w:val="22"/>
          <w:szCs w:val="22"/>
        </w:rPr>
        <w:t>)</w:t>
      </w:r>
      <w:r w:rsidR="003C7E83">
        <w:rPr>
          <w:sz w:val="22"/>
          <w:szCs w:val="22"/>
        </w:rPr>
        <w:t xml:space="preserve">, </w:t>
      </w:r>
      <w:r w:rsidR="00341489">
        <w:rPr>
          <w:sz w:val="22"/>
          <w:szCs w:val="22"/>
        </w:rPr>
        <w:t xml:space="preserve"> </w:t>
      </w:r>
      <w:r w:rsidR="003C7E83">
        <w:rPr>
          <w:sz w:val="22"/>
          <w:szCs w:val="22"/>
        </w:rPr>
        <w:t>Disability</w:t>
      </w:r>
      <w:proofErr w:type="gramEnd"/>
      <w:r w:rsidR="003C7E83">
        <w:rPr>
          <w:sz w:val="22"/>
          <w:szCs w:val="22"/>
        </w:rPr>
        <w:t xml:space="preserve"> Living Allowance</w:t>
      </w:r>
      <w:r w:rsidR="00341489">
        <w:rPr>
          <w:sz w:val="22"/>
          <w:szCs w:val="22"/>
        </w:rPr>
        <w:t xml:space="preserve"> (DLA)</w:t>
      </w:r>
      <w:r>
        <w:rPr>
          <w:sz w:val="22"/>
          <w:szCs w:val="22"/>
        </w:rPr>
        <w:t xml:space="preserve"> </w:t>
      </w:r>
      <w:r w:rsidR="00341489">
        <w:rPr>
          <w:sz w:val="22"/>
          <w:szCs w:val="22"/>
        </w:rPr>
        <w:t xml:space="preserve">or </w:t>
      </w:r>
      <w:r>
        <w:rPr>
          <w:sz w:val="22"/>
          <w:szCs w:val="22"/>
        </w:rPr>
        <w:t>Attendance Allowance</w:t>
      </w:r>
      <w:r w:rsidR="00936704">
        <w:rPr>
          <w:sz w:val="22"/>
          <w:szCs w:val="22"/>
        </w:rPr>
        <w:t xml:space="preserve"> (AA)</w:t>
      </w:r>
      <w:r>
        <w:rPr>
          <w:sz w:val="22"/>
          <w:szCs w:val="22"/>
        </w:rPr>
        <w:t xml:space="preserve"> which account for </w:t>
      </w:r>
      <w:r w:rsidR="00936704">
        <w:rPr>
          <w:sz w:val="22"/>
          <w:szCs w:val="22"/>
        </w:rPr>
        <w:t xml:space="preserve">around </w:t>
      </w:r>
      <w:r w:rsidR="003C7E83">
        <w:rPr>
          <w:sz w:val="22"/>
          <w:szCs w:val="22"/>
        </w:rPr>
        <w:t>3</w:t>
      </w:r>
      <w:r w:rsidR="00341489">
        <w:rPr>
          <w:sz w:val="22"/>
          <w:szCs w:val="22"/>
        </w:rPr>
        <w:t>5</w:t>
      </w:r>
      <w:r w:rsidR="003C7E83">
        <w:rPr>
          <w:sz w:val="22"/>
          <w:szCs w:val="22"/>
        </w:rPr>
        <w:t xml:space="preserve">% </w:t>
      </w:r>
      <w:r w:rsidR="0037589B">
        <w:rPr>
          <w:sz w:val="22"/>
          <w:szCs w:val="22"/>
        </w:rPr>
        <w:t>of all referrals</w:t>
      </w:r>
      <w:r>
        <w:rPr>
          <w:sz w:val="22"/>
          <w:szCs w:val="22"/>
        </w:rPr>
        <w:t xml:space="preserve">. </w:t>
      </w:r>
      <w:r w:rsidR="00341489">
        <w:rPr>
          <w:sz w:val="22"/>
          <w:szCs w:val="22"/>
        </w:rPr>
        <w:t>Clients are extremely concerned about the proposed changes to eligibility for  PIP  from 2026 and the</w:t>
      </w:r>
      <w:r w:rsidR="006A51A4">
        <w:rPr>
          <w:sz w:val="22"/>
          <w:szCs w:val="22"/>
        </w:rPr>
        <w:t xml:space="preserve"> reduction and </w:t>
      </w:r>
      <w:r w:rsidR="00341489">
        <w:rPr>
          <w:sz w:val="22"/>
          <w:szCs w:val="22"/>
        </w:rPr>
        <w:t xml:space="preserve"> </w:t>
      </w:r>
      <w:r w:rsidR="006A51A4">
        <w:rPr>
          <w:sz w:val="22"/>
          <w:szCs w:val="22"/>
        </w:rPr>
        <w:t>freezing of</w:t>
      </w:r>
      <w:r w:rsidR="00341489">
        <w:rPr>
          <w:sz w:val="22"/>
          <w:szCs w:val="22"/>
        </w:rPr>
        <w:t xml:space="preserve"> the health element of Universal Credi</w:t>
      </w:r>
      <w:r w:rsidR="006A51A4">
        <w:rPr>
          <w:sz w:val="22"/>
          <w:szCs w:val="22"/>
        </w:rPr>
        <w:t>t.</w:t>
      </w:r>
    </w:p>
    <w:p w14:paraId="54E8DD51" w14:textId="77777777" w:rsidR="006A51A4" w:rsidRDefault="006A51A4" w:rsidP="00562565">
      <w:pPr>
        <w:pStyle w:val="Default"/>
        <w:rPr>
          <w:sz w:val="22"/>
          <w:szCs w:val="22"/>
        </w:rPr>
      </w:pPr>
    </w:p>
    <w:p w14:paraId="683698FB" w14:textId="3D0C82AB" w:rsidR="00562565" w:rsidRPr="00B85EA9" w:rsidRDefault="00DB69A4" w:rsidP="0047031D">
      <w:pPr>
        <w:pStyle w:val="Default"/>
        <w:rPr>
          <w:sz w:val="22"/>
          <w:szCs w:val="22"/>
        </w:rPr>
      </w:pPr>
      <w:r>
        <w:rPr>
          <w:sz w:val="22"/>
          <w:szCs w:val="22"/>
        </w:rPr>
        <w:t xml:space="preserve">The table below shows the key data recorded on our client database. </w:t>
      </w:r>
    </w:p>
    <w:p w14:paraId="5D8F952F" w14:textId="77777777" w:rsidR="00562565" w:rsidRDefault="00562565" w:rsidP="00562565">
      <w:pPr>
        <w:pStyle w:val="Default"/>
      </w:pPr>
    </w:p>
    <w:tbl>
      <w:tblPr>
        <w:tblW w:w="8364" w:type="dxa"/>
        <w:tblInd w:w="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2"/>
        <w:gridCol w:w="1701"/>
        <w:gridCol w:w="1701"/>
        <w:gridCol w:w="1560"/>
      </w:tblGrid>
      <w:tr w:rsidR="000A7C11" w14:paraId="0C6D3347" w14:textId="6CA467A7" w:rsidTr="000A7C11">
        <w:trPr>
          <w:trHeight w:val="109"/>
        </w:trPr>
        <w:tc>
          <w:tcPr>
            <w:tcW w:w="3402" w:type="dxa"/>
          </w:tcPr>
          <w:p w14:paraId="7E6F35FF" w14:textId="4B1B601E" w:rsidR="000A7C11" w:rsidRDefault="000A7C11" w:rsidP="008415D4">
            <w:pPr>
              <w:pStyle w:val="Default"/>
              <w:rPr>
                <w:b/>
                <w:bCs/>
                <w:sz w:val="22"/>
                <w:szCs w:val="22"/>
              </w:rPr>
            </w:pPr>
            <w:r>
              <w:rPr>
                <w:b/>
                <w:bCs/>
                <w:sz w:val="22"/>
                <w:szCs w:val="22"/>
              </w:rPr>
              <w:t>Key data</w:t>
            </w:r>
          </w:p>
        </w:tc>
        <w:tc>
          <w:tcPr>
            <w:tcW w:w="1701" w:type="dxa"/>
            <w:shd w:val="clear" w:color="auto" w:fill="DEEAF6" w:themeFill="accent5" w:themeFillTint="33"/>
          </w:tcPr>
          <w:p w14:paraId="66CA8308" w14:textId="48B7212D" w:rsidR="000A7C11" w:rsidRDefault="000A7C11" w:rsidP="00EC3BF8">
            <w:pPr>
              <w:pStyle w:val="Default"/>
              <w:jc w:val="center"/>
              <w:rPr>
                <w:b/>
                <w:bCs/>
                <w:sz w:val="22"/>
                <w:szCs w:val="22"/>
              </w:rPr>
            </w:pPr>
            <w:r>
              <w:rPr>
                <w:b/>
                <w:bCs/>
                <w:sz w:val="22"/>
                <w:szCs w:val="22"/>
              </w:rPr>
              <w:t>2024/25</w:t>
            </w:r>
          </w:p>
        </w:tc>
        <w:tc>
          <w:tcPr>
            <w:tcW w:w="1701" w:type="dxa"/>
          </w:tcPr>
          <w:p w14:paraId="57BD88F7" w14:textId="29EF9241" w:rsidR="000A7C11" w:rsidRDefault="000A7C11" w:rsidP="008415D4">
            <w:pPr>
              <w:pStyle w:val="Default"/>
              <w:rPr>
                <w:b/>
                <w:bCs/>
                <w:sz w:val="22"/>
                <w:szCs w:val="22"/>
              </w:rPr>
            </w:pPr>
            <w:r>
              <w:rPr>
                <w:b/>
                <w:bCs/>
                <w:sz w:val="22"/>
                <w:szCs w:val="22"/>
              </w:rPr>
              <w:t>2023/24</w:t>
            </w:r>
          </w:p>
        </w:tc>
        <w:tc>
          <w:tcPr>
            <w:tcW w:w="1560" w:type="dxa"/>
            <w:shd w:val="clear" w:color="auto" w:fill="DEEAF6" w:themeFill="accent5" w:themeFillTint="33"/>
          </w:tcPr>
          <w:p w14:paraId="1DE02AE9" w14:textId="78F6F06E" w:rsidR="000A7C11" w:rsidRDefault="000A7C11" w:rsidP="008415D4">
            <w:pPr>
              <w:pStyle w:val="Default"/>
              <w:rPr>
                <w:b/>
                <w:bCs/>
                <w:sz w:val="22"/>
                <w:szCs w:val="22"/>
              </w:rPr>
            </w:pPr>
            <w:r>
              <w:rPr>
                <w:b/>
                <w:bCs/>
                <w:sz w:val="22"/>
                <w:szCs w:val="22"/>
              </w:rPr>
              <w:t>Change from 2023/2024</w:t>
            </w:r>
          </w:p>
        </w:tc>
      </w:tr>
      <w:tr w:rsidR="000A7C11" w14:paraId="4C995B69" w14:textId="22950EAD" w:rsidTr="000A7C11">
        <w:trPr>
          <w:trHeight w:val="109"/>
        </w:trPr>
        <w:tc>
          <w:tcPr>
            <w:tcW w:w="3402" w:type="dxa"/>
          </w:tcPr>
          <w:p w14:paraId="7EC7C119" w14:textId="2BB428EB" w:rsidR="000A7C11" w:rsidRDefault="000A7C11" w:rsidP="008415D4">
            <w:pPr>
              <w:pStyle w:val="Default"/>
              <w:rPr>
                <w:sz w:val="22"/>
                <w:szCs w:val="22"/>
              </w:rPr>
            </w:pPr>
            <w:r>
              <w:rPr>
                <w:sz w:val="22"/>
                <w:szCs w:val="22"/>
              </w:rPr>
              <w:t>Clients accessing service</w:t>
            </w:r>
          </w:p>
        </w:tc>
        <w:tc>
          <w:tcPr>
            <w:tcW w:w="1701" w:type="dxa"/>
            <w:shd w:val="clear" w:color="auto" w:fill="DEEAF6" w:themeFill="accent5" w:themeFillTint="33"/>
          </w:tcPr>
          <w:p w14:paraId="7A000557" w14:textId="15A08348" w:rsidR="000A7C11" w:rsidRDefault="000A7C11" w:rsidP="008415D4">
            <w:pPr>
              <w:pStyle w:val="Default"/>
              <w:rPr>
                <w:sz w:val="22"/>
                <w:szCs w:val="22"/>
              </w:rPr>
            </w:pPr>
            <w:r>
              <w:rPr>
                <w:sz w:val="22"/>
                <w:szCs w:val="22"/>
              </w:rPr>
              <w:t>1,865</w:t>
            </w:r>
          </w:p>
        </w:tc>
        <w:tc>
          <w:tcPr>
            <w:tcW w:w="1701" w:type="dxa"/>
          </w:tcPr>
          <w:p w14:paraId="2D093AEB" w14:textId="0211A553" w:rsidR="000A7C11" w:rsidRDefault="000A7C11" w:rsidP="008415D4">
            <w:pPr>
              <w:pStyle w:val="Default"/>
              <w:rPr>
                <w:sz w:val="22"/>
                <w:szCs w:val="22"/>
              </w:rPr>
            </w:pPr>
            <w:r>
              <w:rPr>
                <w:sz w:val="22"/>
                <w:szCs w:val="22"/>
              </w:rPr>
              <w:t>1,636</w:t>
            </w:r>
          </w:p>
        </w:tc>
        <w:tc>
          <w:tcPr>
            <w:tcW w:w="1560" w:type="dxa"/>
            <w:shd w:val="clear" w:color="auto" w:fill="DEEAF6" w:themeFill="accent5" w:themeFillTint="33"/>
          </w:tcPr>
          <w:p w14:paraId="5B8940BF" w14:textId="2AF67F07" w:rsidR="000A7C11" w:rsidRDefault="000A7C11" w:rsidP="008415D4">
            <w:pPr>
              <w:pStyle w:val="Default"/>
              <w:rPr>
                <w:sz w:val="22"/>
                <w:szCs w:val="22"/>
              </w:rPr>
            </w:pPr>
            <w:r>
              <w:rPr>
                <w:sz w:val="22"/>
                <w:szCs w:val="22"/>
              </w:rPr>
              <w:t>+229</w:t>
            </w:r>
          </w:p>
        </w:tc>
      </w:tr>
      <w:tr w:rsidR="000A7C11" w14:paraId="38A024B0" w14:textId="59B50F03" w:rsidTr="000A7C11">
        <w:trPr>
          <w:trHeight w:val="109"/>
        </w:trPr>
        <w:tc>
          <w:tcPr>
            <w:tcW w:w="3402" w:type="dxa"/>
          </w:tcPr>
          <w:p w14:paraId="6D0EEE8A" w14:textId="4ABC507C" w:rsidR="000A7C11" w:rsidRDefault="000A7C11" w:rsidP="008415D4">
            <w:pPr>
              <w:pStyle w:val="Default"/>
              <w:rPr>
                <w:sz w:val="22"/>
                <w:szCs w:val="22"/>
              </w:rPr>
            </w:pPr>
            <w:r>
              <w:rPr>
                <w:sz w:val="22"/>
                <w:szCs w:val="22"/>
              </w:rPr>
              <w:t>New clients</w:t>
            </w:r>
          </w:p>
        </w:tc>
        <w:tc>
          <w:tcPr>
            <w:tcW w:w="1701" w:type="dxa"/>
            <w:shd w:val="clear" w:color="auto" w:fill="DEEAF6" w:themeFill="accent5" w:themeFillTint="33"/>
          </w:tcPr>
          <w:p w14:paraId="582251AA" w14:textId="49D9112F" w:rsidR="000A7C11" w:rsidRDefault="000A7C11" w:rsidP="008415D4">
            <w:pPr>
              <w:pStyle w:val="Default"/>
              <w:rPr>
                <w:sz w:val="22"/>
                <w:szCs w:val="22"/>
              </w:rPr>
            </w:pPr>
            <w:r>
              <w:rPr>
                <w:sz w:val="22"/>
                <w:szCs w:val="22"/>
              </w:rPr>
              <w:t>1,077</w:t>
            </w:r>
          </w:p>
        </w:tc>
        <w:tc>
          <w:tcPr>
            <w:tcW w:w="1701" w:type="dxa"/>
          </w:tcPr>
          <w:p w14:paraId="0E4FF53E" w14:textId="6DD9D08B" w:rsidR="000A7C11" w:rsidRDefault="000A7C11" w:rsidP="008415D4">
            <w:pPr>
              <w:pStyle w:val="Default"/>
              <w:rPr>
                <w:sz w:val="22"/>
                <w:szCs w:val="22"/>
              </w:rPr>
            </w:pPr>
            <w:r>
              <w:rPr>
                <w:sz w:val="22"/>
                <w:szCs w:val="22"/>
              </w:rPr>
              <w:t>942</w:t>
            </w:r>
          </w:p>
        </w:tc>
        <w:tc>
          <w:tcPr>
            <w:tcW w:w="1560" w:type="dxa"/>
            <w:shd w:val="clear" w:color="auto" w:fill="DEEAF6" w:themeFill="accent5" w:themeFillTint="33"/>
          </w:tcPr>
          <w:p w14:paraId="1400192B" w14:textId="31B030EA" w:rsidR="000A7C11" w:rsidRDefault="000A7C11" w:rsidP="008415D4">
            <w:pPr>
              <w:pStyle w:val="Default"/>
              <w:rPr>
                <w:sz w:val="22"/>
                <w:szCs w:val="22"/>
              </w:rPr>
            </w:pPr>
            <w:r>
              <w:rPr>
                <w:sz w:val="22"/>
                <w:szCs w:val="22"/>
              </w:rPr>
              <w:t>+135</w:t>
            </w:r>
          </w:p>
        </w:tc>
      </w:tr>
      <w:tr w:rsidR="000A7C11" w14:paraId="7D0FFFFA" w14:textId="73988F4A" w:rsidTr="000A7C11">
        <w:trPr>
          <w:trHeight w:val="109"/>
        </w:trPr>
        <w:tc>
          <w:tcPr>
            <w:tcW w:w="3402" w:type="dxa"/>
          </w:tcPr>
          <w:p w14:paraId="36A0CF46" w14:textId="24B413AD" w:rsidR="000A7C11" w:rsidRDefault="000A7C11" w:rsidP="008415D4">
            <w:pPr>
              <w:pStyle w:val="Default"/>
              <w:rPr>
                <w:sz w:val="22"/>
                <w:szCs w:val="22"/>
              </w:rPr>
            </w:pPr>
            <w:r>
              <w:rPr>
                <w:sz w:val="22"/>
                <w:szCs w:val="22"/>
              </w:rPr>
              <w:t>Contacts</w:t>
            </w:r>
          </w:p>
        </w:tc>
        <w:tc>
          <w:tcPr>
            <w:tcW w:w="1701" w:type="dxa"/>
            <w:shd w:val="clear" w:color="auto" w:fill="DEEAF6" w:themeFill="accent5" w:themeFillTint="33"/>
          </w:tcPr>
          <w:p w14:paraId="23E09410" w14:textId="27752279" w:rsidR="000A7C11" w:rsidRDefault="000A7C11" w:rsidP="008415D4">
            <w:pPr>
              <w:pStyle w:val="Default"/>
              <w:rPr>
                <w:sz w:val="22"/>
                <w:szCs w:val="22"/>
              </w:rPr>
            </w:pPr>
            <w:r>
              <w:rPr>
                <w:sz w:val="22"/>
                <w:szCs w:val="22"/>
              </w:rPr>
              <w:t>8,925</w:t>
            </w:r>
          </w:p>
        </w:tc>
        <w:tc>
          <w:tcPr>
            <w:tcW w:w="1701" w:type="dxa"/>
          </w:tcPr>
          <w:p w14:paraId="71034D5D" w14:textId="37A3D9A0" w:rsidR="000A7C11" w:rsidRDefault="000A7C11" w:rsidP="008415D4">
            <w:pPr>
              <w:pStyle w:val="Default"/>
              <w:rPr>
                <w:sz w:val="22"/>
                <w:szCs w:val="22"/>
              </w:rPr>
            </w:pPr>
            <w:r>
              <w:rPr>
                <w:sz w:val="22"/>
                <w:szCs w:val="22"/>
              </w:rPr>
              <w:t>7,046</w:t>
            </w:r>
          </w:p>
        </w:tc>
        <w:tc>
          <w:tcPr>
            <w:tcW w:w="1560" w:type="dxa"/>
            <w:shd w:val="clear" w:color="auto" w:fill="DEEAF6" w:themeFill="accent5" w:themeFillTint="33"/>
          </w:tcPr>
          <w:p w14:paraId="2D67B6E2" w14:textId="21137339" w:rsidR="000A7C11" w:rsidRDefault="000A7C11" w:rsidP="008415D4">
            <w:pPr>
              <w:pStyle w:val="Default"/>
              <w:rPr>
                <w:sz w:val="22"/>
                <w:szCs w:val="22"/>
              </w:rPr>
            </w:pPr>
            <w:r>
              <w:rPr>
                <w:sz w:val="22"/>
                <w:szCs w:val="22"/>
              </w:rPr>
              <w:t>+1,879</w:t>
            </w:r>
          </w:p>
        </w:tc>
      </w:tr>
      <w:tr w:rsidR="000A7C11" w14:paraId="0E4B9050" w14:textId="1B50C2D8" w:rsidTr="000A7C11">
        <w:trPr>
          <w:trHeight w:val="109"/>
        </w:trPr>
        <w:tc>
          <w:tcPr>
            <w:tcW w:w="3402" w:type="dxa"/>
          </w:tcPr>
          <w:p w14:paraId="76C813CA" w14:textId="7DC9B7C5" w:rsidR="000A7C11" w:rsidRDefault="000A7C11" w:rsidP="008415D4">
            <w:pPr>
              <w:pStyle w:val="Default"/>
              <w:rPr>
                <w:sz w:val="22"/>
                <w:szCs w:val="22"/>
              </w:rPr>
            </w:pPr>
            <w:r>
              <w:rPr>
                <w:sz w:val="22"/>
                <w:szCs w:val="22"/>
              </w:rPr>
              <w:t>Referrals</w:t>
            </w:r>
          </w:p>
        </w:tc>
        <w:tc>
          <w:tcPr>
            <w:tcW w:w="1701" w:type="dxa"/>
            <w:shd w:val="clear" w:color="auto" w:fill="DEEAF6" w:themeFill="accent5" w:themeFillTint="33"/>
          </w:tcPr>
          <w:p w14:paraId="12832A51" w14:textId="53B85319" w:rsidR="000A7C11" w:rsidRDefault="000A7C11" w:rsidP="008415D4">
            <w:pPr>
              <w:pStyle w:val="Default"/>
              <w:rPr>
                <w:sz w:val="22"/>
                <w:szCs w:val="22"/>
              </w:rPr>
            </w:pPr>
            <w:r>
              <w:rPr>
                <w:sz w:val="22"/>
                <w:szCs w:val="22"/>
              </w:rPr>
              <w:t>2,708</w:t>
            </w:r>
          </w:p>
        </w:tc>
        <w:tc>
          <w:tcPr>
            <w:tcW w:w="1701" w:type="dxa"/>
          </w:tcPr>
          <w:p w14:paraId="12A6B200" w14:textId="799CE17B" w:rsidR="000A7C11" w:rsidRDefault="000A7C11" w:rsidP="008415D4">
            <w:pPr>
              <w:pStyle w:val="Default"/>
              <w:rPr>
                <w:sz w:val="22"/>
                <w:szCs w:val="22"/>
              </w:rPr>
            </w:pPr>
            <w:r>
              <w:rPr>
                <w:sz w:val="22"/>
                <w:szCs w:val="22"/>
              </w:rPr>
              <w:t>1,747</w:t>
            </w:r>
          </w:p>
        </w:tc>
        <w:tc>
          <w:tcPr>
            <w:tcW w:w="1560" w:type="dxa"/>
            <w:shd w:val="clear" w:color="auto" w:fill="DEEAF6" w:themeFill="accent5" w:themeFillTint="33"/>
          </w:tcPr>
          <w:p w14:paraId="683CBCF8" w14:textId="0CFFA809" w:rsidR="000A7C11" w:rsidRDefault="000A7C11" w:rsidP="008415D4">
            <w:pPr>
              <w:pStyle w:val="Default"/>
              <w:rPr>
                <w:sz w:val="22"/>
                <w:szCs w:val="22"/>
              </w:rPr>
            </w:pPr>
            <w:r>
              <w:rPr>
                <w:sz w:val="22"/>
                <w:szCs w:val="22"/>
              </w:rPr>
              <w:t>+961</w:t>
            </w:r>
          </w:p>
        </w:tc>
      </w:tr>
      <w:tr w:rsidR="000A7C11" w14:paraId="5E32E906" w14:textId="7F05830D" w:rsidTr="000A7C11">
        <w:trPr>
          <w:trHeight w:val="109"/>
        </w:trPr>
        <w:tc>
          <w:tcPr>
            <w:tcW w:w="3402" w:type="dxa"/>
          </w:tcPr>
          <w:p w14:paraId="0962E8D5" w14:textId="20F30E09" w:rsidR="000A7C11" w:rsidRDefault="000A7C11" w:rsidP="008415D4">
            <w:pPr>
              <w:pStyle w:val="Default"/>
              <w:rPr>
                <w:sz w:val="22"/>
                <w:szCs w:val="22"/>
              </w:rPr>
            </w:pPr>
            <w:r>
              <w:rPr>
                <w:sz w:val="22"/>
                <w:szCs w:val="22"/>
              </w:rPr>
              <w:t>Completed referrals by 31</w:t>
            </w:r>
            <w:r w:rsidRPr="00627A03">
              <w:rPr>
                <w:sz w:val="22"/>
                <w:szCs w:val="22"/>
                <w:vertAlign w:val="superscript"/>
              </w:rPr>
              <w:t>st</w:t>
            </w:r>
            <w:r>
              <w:rPr>
                <w:sz w:val="22"/>
                <w:szCs w:val="22"/>
              </w:rPr>
              <w:t xml:space="preserve"> March</w:t>
            </w:r>
          </w:p>
        </w:tc>
        <w:tc>
          <w:tcPr>
            <w:tcW w:w="1701" w:type="dxa"/>
            <w:shd w:val="clear" w:color="auto" w:fill="DEEAF6" w:themeFill="accent5" w:themeFillTint="33"/>
          </w:tcPr>
          <w:p w14:paraId="57D4A924" w14:textId="6158C96F" w:rsidR="000A7C11" w:rsidRDefault="000A7C11" w:rsidP="008415D4">
            <w:pPr>
              <w:pStyle w:val="Default"/>
              <w:rPr>
                <w:sz w:val="22"/>
                <w:szCs w:val="22"/>
              </w:rPr>
            </w:pPr>
            <w:r>
              <w:rPr>
                <w:sz w:val="22"/>
                <w:szCs w:val="22"/>
              </w:rPr>
              <w:t>1,752</w:t>
            </w:r>
          </w:p>
        </w:tc>
        <w:tc>
          <w:tcPr>
            <w:tcW w:w="1701" w:type="dxa"/>
          </w:tcPr>
          <w:p w14:paraId="5415D473" w14:textId="4CFB1800" w:rsidR="000A7C11" w:rsidRDefault="000A7C11" w:rsidP="008415D4">
            <w:pPr>
              <w:pStyle w:val="Default"/>
              <w:rPr>
                <w:sz w:val="22"/>
                <w:szCs w:val="22"/>
              </w:rPr>
            </w:pPr>
            <w:r>
              <w:rPr>
                <w:sz w:val="22"/>
                <w:szCs w:val="22"/>
              </w:rPr>
              <w:t>1,506</w:t>
            </w:r>
          </w:p>
        </w:tc>
        <w:tc>
          <w:tcPr>
            <w:tcW w:w="1560" w:type="dxa"/>
            <w:shd w:val="clear" w:color="auto" w:fill="DEEAF6" w:themeFill="accent5" w:themeFillTint="33"/>
          </w:tcPr>
          <w:p w14:paraId="5C2F4B26" w14:textId="5B7EA405" w:rsidR="000A7C11" w:rsidRDefault="000A7C11" w:rsidP="008415D4">
            <w:pPr>
              <w:pStyle w:val="Default"/>
              <w:rPr>
                <w:sz w:val="22"/>
                <w:szCs w:val="22"/>
              </w:rPr>
            </w:pPr>
            <w:r>
              <w:rPr>
                <w:sz w:val="22"/>
                <w:szCs w:val="22"/>
              </w:rPr>
              <w:t>+246</w:t>
            </w:r>
          </w:p>
        </w:tc>
      </w:tr>
      <w:tr w:rsidR="000A7C11" w14:paraId="3FDF3EBA" w14:textId="30B204FD" w:rsidTr="000A7C11">
        <w:trPr>
          <w:trHeight w:val="109"/>
        </w:trPr>
        <w:tc>
          <w:tcPr>
            <w:tcW w:w="3402" w:type="dxa"/>
          </w:tcPr>
          <w:p w14:paraId="172BA132" w14:textId="4FA6F312" w:rsidR="000A7C11" w:rsidRDefault="000A7C11" w:rsidP="008415D4">
            <w:pPr>
              <w:pStyle w:val="Default"/>
              <w:rPr>
                <w:sz w:val="22"/>
                <w:szCs w:val="22"/>
              </w:rPr>
            </w:pPr>
            <w:r>
              <w:rPr>
                <w:sz w:val="22"/>
                <w:szCs w:val="22"/>
              </w:rPr>
              <w:t>Financial outcomes in a year</w:t>
            </w:r>
          </w:p>
        </w:tc>
        <w:tc>
          <w:tcPr>
            <w:tcW w:w="1701" w:type="dxa"/>
            <w:shd w:val="clear" w:color="auto" w:fill="DEEAF6" w:themeFill="accent5" w:themeFillTint="33"/>
          </w:tcPr>
          <w:p w14:paraId="355A6DAE" w14:textId="399DF1A3" w:rsidR="000A7C11" w:rsidRDefault="000A7C11" w:rsidP="008415D4">
            <w:pPr>
              <w:pStyle w:val="Default"/>
              <w:rPr>
                <w:sz w:val="22"/>
                <w:szCs w:val="22"/>
              </w:rPr>
            </w:pPr>
            <w:r>
              <w:rPr>
                <w:sz w:val="22"/>
                <w:szCs w:val="22"/>
              </w:rPr>
              <w:t>£3,170,287</w:t>
            </w:r>
          </w:p>
        </w:tc>
        <w:tc>
          <w:tcPr>
            <w:tcW w:w="1701" w:type="dxa"/>
          </w:tcPr>
          <w:p w14:paraId="3DA9139C" w14:textId="1469AE8F" w:rsidR="000A7C11" w:rsidRDefault="000A7C11" w:rsidP="008415D4">
            <w:pPr>
              <w:pStyle w:val="Default"/>
              <w:rPr>
                <w:sz w:val="22"/>
                <w:szCs w:val="22"/>
              </w:rPr>
            </w:pPr>
            <w:r>
              <w:rPr>
                <w:sz w:val="22"/>
                <w:szCs w:val="22"/>
              </w:rPr>
              <w:t>£2,566,006</w:t>
            </w:r>
          </w:p>
        </w:tc>
        <w:tc>
          <w:tcPr>
            <w:tcW w:w="1560" w:type="dxa"/>
            <w:shd w:val="clear" w:color="auto" w:fill="DEEAF6" w:themeFill="accent5" w:themeFillTint="33"/>
          </w:tcPr>
          <w:p w14:paraId="744F533A" w14:textId="0DB28AA7" w:rsidR="000A7C11" w:rsidRDefault="000A7C11" w:rsidP="008415D4">
            <w:pPr>
              <w:pStyle w:val="Default"/>
              <w:rPr>
                <w:sz w:val="22"/>
                <w:szCs w:val="22"/>
              </w:rPr>
            </w:pPr>
            <w:r>
              <w:rPr>
                <w:sz w:val="22"/>
                <w:szCs w:val="22"/>
              </w:rPr>
              <w:t>+£614,281</w:t>
            </w:r>
          </w:p>
        </w:tc>
      </w:tr>
      <w:tr w:rsidR="000A7C11" w14:paraId="420BC30C" w14:textId="27405536" w:rsidTr="000A7C11">
        <w:trPr>
          <w:trHeight w:val="109"/>
        </w:trPr>
        <w:tc>
          <w:tcPr>
            <w:tcW w:w="3402" w:type="dxa"/>
          </w:tcPr>
          <w:p w14:paraId="7AB6AF04" w14:textId="7C93C319" w:rsidR="000A7C11" w:rsidRDefault="000A7C11" w:rsidP="008415D4">
            <w:pPr>
              <w:pStyle w:val="Default"/>
              <w:rPr>
                <w:sz w:val="22"/>
                <w:szCs w:val="22"/>
              </w:rPr>
            </w:pPr>
            <w:r>
              <w:rPr>
                <w:sz w:val="22"/>
                <w:szCs w:val="22"/>
              </w:rPr>
              <w:t xml:space="preserve">Average </w:t>
            </w:r>
            <w:r w:rsidR="00AE16A6">
              <w:rPr>
                <w:sz w:val="22"/>
                <w:szCs w:val="22"/>
              </w:rPr>
              <w:t xml:space="preserve">financial </w:t>
            </w:r>
            <w:r>
              <w:rPr>
                <w:sz w:val="22"/>
                <w:szCs w:val="22"/>
              </w:rPr>
              <w:t>outcome per completed referral</w:t>
            </w:r>
            <w:r w:rsidR="00AE16A6">
              <w:rPr>
                <w:sz w:val="22"/>
                <w:szCs w:val="22"/>
              </w:rPr>
              <w:t xml:space="preserve"> (need)</w:t>
            </w:r>
          </w:p>
        </w:tc>
        <w:tc>
          <w:tcPr>
            <w:tcW w:w="1701" w:type="dxa"/>
            <w:shd w:val="clear" w:color="auto" w:fill="DEEAF6" w:themeFill="accent5" w:themeFillTint="33"/>
          </w:tcPr>
          <w:p w14:paraId="375283FC" w14:textId="1F020660" w:rsidR="000A7C11" w:rsidRDefault="000A7C11" w:rsidP="008415D4">
            <w:pPr>
              <w:pStyle w:val="Default"/>
              <w:rPr>
                <w:sz w:val="22"/>
                <w:szCs w:val="22"/>
              </w:rPr>
            </w:pPr>
            <w:r>
              <w:rPr>
                <w:sz w:val="22"/>
                <w:szCs w:val="22"/>
              </w:rPr>
              <w:t>£1,810</w:t>
            </w:r>
          </w:p>
        </w:tc>
        <w:tc>
          <w:tcPr>
            <w:tcW w:w="1701" w:type="dxa"/>
          </w:tcPr>
          <w:p w14:paraId="41D1CE95" w14:textId="692E7BDC" w:rsidR="000A7C11" w:rsidRDefault="000A7C11" w:rsidP="008415D4">
            <w:pPr>
              <w:pStyle w:val="Default"/>
              <w:rPr>
                <w:sz w:val="22"/>
                <w:szCs w:val="22"/>
              </w:rPr>
            </w:pPr>
            <w:r>
              <w:rPr>
                <w:sz w:val="22"/>
                <w:szCs w:val="22"/>
              </w:rPr>
              <w:t>£1,704</w:t>
            </w:r>
          </w:p>
        </w:tc>
        <w:tc>
          <w:tcPr>
            <w:tcW w:w="1560" w:type="dxa"/>
            <w:shd w:val="clear" w:color="auto" w:fill="DEEAF6" w:themeFill="accent5" w:themeFillTint="33"/>
          </w:tcPr>
          <w:p w14:paraId="7A3B0242" w14:textId="3FEA43B8" w:rsidR="000A7C11" w:rsidRDefault="000A7C11" w:rsidP="008415D4">
            <w:pPr>
              <w:pStyle w:val="Default"/>
              <w:rPr>
                <w:sz w:val="22"/>
                <w:szCs w:val="22"/>
              </w:rPr>
            </w:pPr>
            <w:r>
              <w:rPr>
                <w:sz w:val="22"/>
                <w:szCs w:val="22"/>
              </w:rPr>
              <w:t>+£106</w:t>
            </w:r>
          </w:p>
        </w:tc>
      </w:tr>
    </w:tbl>
    <w:p w14:paraId="4ACEED71" w14:textId="77777777" w:rsidR="00B555CD" w:rsidRDefault="00B555CD" w:rsidP="00562565">
      <w:pPr>
        <w:pStyle w:val="Default"/>
        <w:rPr>
          <w:sz w:val="22"/>
          <w:szCs w:val="22"/>
        </w:rPr>
      </w:pPr>
    </w:p>
    <w:p w14:paraId="5B0C4E51" w14:textId="77777777" w:rsidR="0047031D" w:rsidRPr="00B85EA9" w:rsidRDefault="0047031D" w:rsidP="0047031D">
      <w:pPr>
        <w:pStyle w:val="Default"/>
        <w:rPr>
          <w:sz w:val="22"/>
          <w:szCs w:val="22"/>
        </w:rPr>
      </w:pPr>
      <w:r w:rsidRPr="00B85EA9">
        <w:rPr>
          <w:sz w:val="22"/>
          <w:szCs w:val="22"/>
        </w:rPr>
        <w:t xml:space="preserve">Overall, the demand for our service </w:t>
      </w:r>
      <w:r>
        <w:rPr>
          <w:sz w:val="22"/>
          <w:szCs w:val="22"/>
        </w:rPr>
        <w:t xml:space="preserve"> continued to </w:t>
      </w:r>
      <w:r w:rsidRPr="00B85EA9">
        <w:rPr>
          <w:sz w:val="22"/>
          <w:szCs w:val="22"/>
        </w:rPr>
        <w:t>increase in 202</w:t>
      </w:r>
      <w:r>
        <w:rPr>
          <w:sz w:val="22"/>
          <w:szCs w:val="22"/>
        </w:rPr>
        <w:t>4</w:t>
      </w:r>
      <w:r w:rsidRPr="00B85EA9">
        <w:rPr>
          <w:sz w:val="22"/>
          <w:szCs w:val="22"/>
        </w:rPr>
        <w:t>/2</w:t>
      </w:r>
      <w:r>
        <w:rPr>
          <w:sz w:val="22"/>
          <w:szCs w:val="22"/>
        </w:rPr>
        <w:t>5</w:t>
      </w:r>
      <w:r w:rsidRPr="00B85EA9">
        <w:rPr>
          <w:sz w:val="22"/>
          <w:szCs w:val="22"/>
        </w:rPr>
        <w:t xml:space="preserve"> by </w:t>
      </w:r>
      <w:r w:rsidRPr="005A5CD9">
        <w:rPr>
          <w:sz w:val="22"/>
          <w:szCs w:val="22"/>
        </w:rPr>
        <w:t>18%</w:t>
      </w:r>
      <w:r w:rsidRPr="00B85EA9">
        <w:rPr>
          <w:sz w:val="22"/>
          <w:szCs w:val="22"/>
        </w:rPr>
        <w:t xml:space="preserve"> as did the number of </w:t>
      </w:r>
      <w:r>
        <w:rPr>
          <w:sz w:val="22"/>
          <w:szCs w:val="22"/>
        </w:rPr>
        <w:t xml:space="preserve">new </w:t>
      </w:r>
      <w:r w:rsidRPr="00B85EA9">
        <w:rPr>
          <w:sz w:val="22"/>
          <w:szCs w:val="22"/>
        </w:rPr>
        <w:t xml:space="preserve">clients. </w:t>
      </w:r>
      <w:r>
        <w:rPr>
          <w:sz w:val="22"/>
          <w:szCs w:val="22"/>
        </w:rPr>
        <w:t>Every different identified need is called a referral and each phone call or face to face appointment is called a contact.</w:t>
      </w:r>
      <w:r w:rsidRPr="00B85EA9">
        <w:rPr>
          <w:sz w:val="22"/>
          <w:szCs w:val="22"/>
        </w:rPr>
        <w:t xml:space="preserve"> A client may have more than one referral and multiple contacts depending on the complexity of the case. </w:t>
      </w:r>
    </w:p>
    <w:p w14:paraId="02254E2C" w14:textId="56723E77" w:rsidR="0047031D" w:rsidRDefault="0047031D" w:rsidP="0047031D">
      <w:pPr>
        <w:pStyle w:val="Default"/>
        <w:rPr>
          <w:sz w:val="22"/>
          <w:szCs w:val="22"/>
        </w:rPr>
      </w:pPr>
      <w:r>
        <w:rPr>
          <w:sz w:val="22"/>
          <w:szCs w:val="22"/>
        </w:rPr>
        <w:t xml:space="preserve">We were able to increase our staffing level to meet demand </w:t>
      </w:r>
      <w:proofErr w:type="gramStart"/>
      <w:r>
        <w:rPr>
          <w:sz w:val="22"/>
          <w:szCs w:val="22"/>
        </w:rPr>
        <w:t>as a result of</w:t>
      </w:r>
      <w:proofErr w:type="gramEnd"/>
      <w:r>
        <w:rPr>
          <w:sz w:val="22"/>
          <w:szCs w:val="22"/>
        </w:rPr>
        <w:t xml:space="preserve"> a successful bid to </w:t>
      </w:r>
      <w:r w:rsidR="00AE16A6" w:rsidRPr="00AE16A6">
        <w:rPr>
          <w:b/>
          <w:bCs/>
          <w:sz w:val="22"/>
          <w:szCs w:val="22"/>
        </w:rPr>
        <w:t xml:space="preserve">National Lotteries </w:t>
      </w:r>
      <w:r w:rsidRPr="00AE16A6">
        <w:rPr>
          <w:b/>
          <w:bCs/>
          <w:sz w:val="22"/>
          <w:szCs w:val="22"/>
        </w:rPr>
        <w:t xml:space="preserve">Reaching Communities </w:t>
      </w:r>
      <w:r w:rsidR="00AE16A6" w:rsidRPr="00AE16A6">
        <w:rPr>
          <w:b/>
          <w:bCs/>
          <w:sz w:val="22"/>
          <w:szCs w:val="22"/>
        </w:rPr>
        <w:t>Fund</w:t>
      </w:r>
      <w:r w:rsidR="00AE16A6">
        <w:rPr>
          <w:sz w:val="22"/>
          <w:szCs w:val="22"/>
        </w:rPr>
        <w:t xml:space="preserve"> </w:t>
      </w:r>
      <w:r>
        <w:rPr>
          <w:sz w:val="22"/>
          <w:szCs w:val="22"/>
        </w:rPr>
        <w:t xml:space="preserve">with funding </w:t>
      </w:r>
      <w:r w:rsidR="00AE16A6">
        <w:rPr>
          <w:sz w:val="22"/>
          <w:szCs w:val="22"/>
        </w:rPr>
        <w:t xml:space="preserve">continuing </w:t>
      </w:r>
      <w:r>
        <w:rPr>
          <w:sz w:val="22"/>
          <w:szCs w:val="22"/>
        </w:rPr>
        <w:t xml:space="preserve">for 5 years. </w:t>
      </w:r>
      <w:r w:rsidRPr="00B85EA9">
        <w:rPr>
          <w:sz w:val="22"/>
          <w:szCs w:val="22"/>
        </w:rPr>
        <w:t>Th</w:t>
      </w:r>
      <w:r>
        <w:rPr>
          <w:sz w:val="22"/>
          <w:szCs w:val="22"/>
        </w:rPr>
        <w:t>is extra resource meant that</w:t>
      </w:r>
      <w:r w:rsidR="00AE16A6">
        <w:rPr>
          <w:sz w:val="22"/>
          <w:szCs w:val="22"/>
        </w:rPr>
        <w:t xml:space="preserve"> staff could deal with</w:t>
      </w:r>
      <w:r w:rsidR="00B65BB5">
        <w:rPr>
          <w:sz w:val="22"/>
          <w:szCs w:val="22"/>
        </w:rPr>
        <w:t xml:space="preserve"> </w:t>
      </w:r>
      <w:r>
        <w:rPr>
          <w:sz w:val="22"/>
          <w:szCs w:val="22"/>
        </w:rPr>
        <w:t xml:space="preserve"> more </w:t>
      </w:r>
      <w:r w:rsidR="00246804">
        <w:rPr>
          <w:sz w:val="22"/>
          <w:szCs w:val="22"/>
        </w:rPr>
        <w:t xml:space="preserve">client </w:t>
      </w:r>
      <w:r w:rsidR="00B65BB5">
        <w:rPr>
          <w:sz w:val="22"/>
          <w:szCs w:val="22"/>
        </w:rPr>
        <w:t>needs</w:t>
      </w:r>
      <w:r w:rsidR="00246804">
        <w:rPr>
          <w:sz w:val="22"/>
          <w:szCs w:val="22"/>
        </w:rPr>
        <w:t>. They</w:t>
      </w:r>
      <w:r>
        <w:rPr>
          <w:sz w:val="22"/>
          <w:szCs w:val="22"/>
        </w:rPr>
        <w:t xml:space="preserve"> </w:t>
      </w:r>
      <w:r w:rsidR="00B65BB5">
        <w:rPr>
          <w:sz w:val="22"/>
          <w:szCs w:val="22"/>
        </w:rPr>
        <w:t>complet</w:t>
      </w:r>
      <w:r w:rsidR="00246804">
        <w:rPr>
          <w:sz w:val="22"/>
          <w:szCs w:val="22"/>
        </w:rPr>
        <w:t>ed</w:t>
      </w:r>
      <w:r w:rsidRPr="00B85EA9">
        <w:rPr>
          <w:sz w:val="22"/>
          <w:szCs w:val="22"/>
        </w:rPr>
        <w:t xml:space="preserve"> 1,</w:t>
      </w:r>
      <w:r>
        <w:rPr>
          <w:sz w:val="22"/>
          <w:szCs w:val="22"/>
        </w:rPr>
        <w:t>752</w:t>
      </w:r>
      <w:r w:rsidRPr="00B85EA9">
        <w:rPr>
          <w:sz w:val="22"/>
          <w:szCs w:val="22"/>
        </w:rPr>
        <w:t xml:space="preserve"> referrals </w:t>
      </w:r>
      <w:r w:rsidR="00B65BB5">
        <w:rPr>
          <w:sz w:val="22"/>
          <w:szCs w:val="22"/>
        </w:rPr>
        <w:t>which</w:t>
      </w:r>
      <w:r w:rsidRPr="00B85EA9">
        <w:rPr>
          <w:sz w:val="22"/>
          <w:szCs w:val="22"/>
        </w:rPr>
        <w:t xml:space="preserve"> result</w:t>
      </w:r>
      <w:r w:rsidR="00B65BB5">
        <w:rPr>
          <w:sz w:val="22"/>
          <w:szCs w:val="22"/>
        </w:rPr>
        <w:t>ed</w:t>
      </w:r>
      <w:r w:rsidRPr="00B85EA9">
        <w:rPr>
          <w:sz w:val="22"/>
          <w:szCs w:val="22"/>
        </w:rPr>
        <w:t xml:space="preserve"> in </w:t>
      </w:r>
      <w:r w:rsidR="00246804" w:rsidRPr="00246804">
        <w:rPr>
          <w:b/>
          <w:bCs/>
          <w:sz w:val="22"/>
          <w:szCs w:val="22"/>
        </w:rPr>
        <w:t xml:space="preserve">total </w:t>
      </w:r>
      <w:r w:rsidRPr="00246804">
        <w:rPr>
          <w:b/>
          <w:bCs/>
          <w:sz w:val="22"/>
          <w:szCs w:val="22"/>
        </w:rPr>
        <w:t xml:space="preserve">financial awards of £3,170,287 </w:t>
      </w:r>
      <w:r w:rsidR="00B65BB5" w:rsidRPr="00246804">
        <w:rPr>
          <w:b/>
          <w:bCs/>
          <w:sz w:val="22"/>
          <w:szCs w:val="22"/>
        </w:rPr>
        <w:t>for individuals</w:t>
      </w:r>
      <w:r w:rsidR="00246804" w:rsidRPr="00246804">
        <w:rPr>
          <w:b/>
          <w:bCs/>
          <w:sz w:val="22"/>
          <w:szCs w:val="22"/>
        </w:rPr>
        <w:t xml:space="preserve"> which is up by 24%.</w:t>
      </w:r>
      <w:r w:rsidR="00246804">
        <w:rPr>
          <w:sz w:val="22"/>
          <w:szCs w:val="22"/>
        </w:rPr>
        <w:t xml:space="preserve"> It works out at</w:t>
      </w:r>
      <w:r w:rsidRPr="00B85EA9">
        <w:rPr>
          <w:sz w:val="22"/>
          <w:szCs w:val="22"/>
        </w:rPr>
        <w:t xml:space="preserve"> an average of £1,</w:t>
      </w:r>
      <w:r>
        <w:rPr>
          <w:sz w:val="22"/>
          <w:szCs w:val="22"/>
        </w:rPr>
        <w:t>810</w:t>
      </w:r>
      <w:r w:rsidRPr="00B85EA9">
        <w:rPr>
          <w:sz w:val="22"/>
          <w:szCs w:val="22"/>
        </w:rPr>
        <w:t xml:space="preserve"> per completed referral</w:t>
      </w:r>
      <w:r>
        <w:rPr>
          <w:sz w:val="22"/>
          <w:szCs w:val="22"/>
        </w:rPr>
        <w:t xml:space="preserve"> which is an increase of £106/referral</w:t>
      </w:r>
      <w:r w:rsidRPr="00B85EA9">
        <w:rPr>
          <w:sz w:val="22"/>
          <w:szCs w:val="22"/>
        </w:rPr>
        <w:t>.</w:t>
      </w:r>
    </w:p>
    <w:p w14:paraId="4C1D2907" w14:textId="77777777" w:rsidR="00B71561" w:rsidRDefault="00B71561" w:rsidP="0047031D">
      <w:pPr>
        <w:pStyle w:val="Default"/>
        <w:rPr>
          <w:sz w:val="22"/>
          <w:szCs w:val="22"/>
        </w:rPr>
      </w:pPr>
    </w:p>
    <w:p w14:paraId="0D493F84" w14:textId="52954243" w:rsidR="00B71561" w:rsidRDefault="00B71561" w:rsidP="00B71561">
      <w:pPr>
        <w:spacing w:after="158"/>
        <w:rPr>
          <w:rFonts w:cstheme="minorHAnsi"/>
        </w:rPr>
      </w:pPr>
      <w:r w:rsidRPr="005A755C">
        <w:rPr>
          <w:rFonts w:cstheme="minorHAnsi"/>
        </w:rPr>
        <w:t xml:space="preserve">Our clients face multiple demands and challenges because of disability/ill-health as well as poverty. According to Census data 2021, </w:t>
      </w:r>
      <w:r w:rsidRPr="005A755C">
        <w:rPr>
          <w:rFonts w:cstheme="minorHAnsi"/>
          <w:b/>
          <w:bCs/>
        </w:rPr>
        <w:t xml:space="preserve">37% of the residents we serve live in one of the top 20% most deprived </w:t>
      </w:r>
      <w:r w:rsidRPr="00B71561">
        <w:rPr>
          <w:rFonts w:cstheme="minorHAnsi"/>
          <w:b/>
          <w:bCs/>
        </w:rPr>
        <w:t xml:space="preserve">wards in </w:t>
      </w:r>
      <w:r>
        <w:rPr>
          <w:rFonts w:cstheme="minorHAnsi"/>
          <w:b/>
          <w:bCs/>
        </w:rPr>
        <w:t>England</w:t>
      </w:r>
      <w:r>
        <w:rPr>
          <w:rFonts w:cstheme="minorHAnsi"/>
        </w:rPr>
        <w:t xml:space="preserve">, mainly </w:t>
      </w:r>
      <w:r w:rsidRPr="005A755C">
        <w:rPr>
          <w:rFonts w:cstheme="minorHAnsi"/>
        </w:rPr>
        <w:t xml:space="preserve"> in Lowestoft, Beccles and Kessingland. They have been particularly affected by the cost-of-living crisis because many have a fixed income of disability benefits and/or state pensions.</w:t>
      </w:r>
      <w:r>
        <w:rPr>
          <w:rFonts w:cstheme="minorHAnsi"/>
        </w:rPr>
        <w:t xml:space="preserve"> </w:t>
      </w:r>
      <w:r w:rsidRPr="005A755C">
        <w:rPr>
          <w:rFonts w:cstheme="minorHAnsi"/>
        </w:rPr>
        <w:t xml:space="preserve">The area </w:t>
      </w:r>
      <w:r>
        <w:rPr>
          <w:rFonts w:cstheme="minorHAnsi"/>
        </w:rPr>
        <w:t xml:space="preserve">also </w:t>
      </w:r>
      <w:r w:rsidRPr="005A755C">
        <w:rPr>
          <w:rFonts w:cstheme="minorHAnsi"/>
        </w:rPr>
        <w:t>has a higher-than-average proportion of older people compared to England and that is reflected in our client profile. Of the 1,865  clients in 24/25</w:t>
      </w:r>
      <w:r>
        <w:rPr>
          <w:rFonts w:cstheme="minorHAnsi"/>
        </w:rPr>
        <w:t>, 600</w:t>
      </w:r>
      <w:r w:rsidRPr="005A755C">
        <w:rPr>
          <w:rFonts w:cstheme="minorHAnsi"/>
        </w:rPr>
        <w:t xml:space="preserve"> </w:t>
      </w:r>
      <w:r>
        <w:rPr>
          <w:rFonts w:cstheme="minorHAnsi"/>
        </w:rPr>
        <w:t>(</w:t>
      </w:r>
      <w:r w:rsidRPr="005A755C">
        <w:rPr>
          <w:rFonts w:cstheme="minorHAnsi"/>
          <w:b/>
          <w:bCs/>
        </w:rPr>
        <w:t>almost 30%</w:t>
      </w:r>
      <w:r>
        <w:rPr>
          <w:rFonts w:cstheme="minorHAnsi"/>
          <w:b/>
          <w:bCs/>
        </w:rPr>
        <w:t>)</w:t>
      </w:r>
      <w:r w:rsidRPr="005A755C">
        <w:rPr>
          <w:rFonts w:cstheme="minorHAnsi"/>
          <w:b/>
          <w:bCs/>
        </w:rPr>
        <w:t xml:space="preserve"> were aged 65+</w:t>
      </w:r>
      <w:r w:rsidRPr="005A755C">
        <w:rPr>
          <w:rFonts w:cstheme="minorHAnsi"/>
        </w:rPr>
        <w:t xml:space="preserve">. We </w:t>
      </w:r>
      <w:r>
        <w:rPr>
          <w:rFonts w:cstheme="minorHAnsi"/>
        </w:rPr>
        <w:t>were</w:t>
      </w:r>
      <w:r w:rsidRPr="005A755C">
        <w:rPr>
          <w:rFonts w:cstheme="minorHAnsi"/>
        </w:rPr>
        <w:t xml:space="preserve"> concerned that means testing Winter Fuel Allowance w</w:t>
      </w:r>
      <w:r>
        <w:rPr>
          <w:rFonts w:cstheme="minorHAnsi"/>
        </w:rPr>
        <w:t>ould</w:t>
      </w:r>
      <w:r w:rsidRPr="005A755C">
        <w:rPr>
          <w:rFonts w:cstheme="minorHAnsi"/>
        </w:rPr>
        <w:t xml:space="preserve"> exacerbate their situations so actively promot</w:t>
      </w:r>
      <w:r>
        <w:rPr>
          <w:rFonts w:cstheme="minorHAnsi"/>
        </w:rPr>
        <w:t>ed</w:t>
      </w:r>
      <w:r w:rsidRPr="005A755C">
        <w:rPr>
          <w:rFonts w:cstheme="minorHAnsi"/>
        </w:rPr>
        <w:t xml:space="preserve"> help to complete Pension Credit applications.</w:t>
      </w:r>
      <w:r>
        <w:rPr>
          <w:rFonts w:cstheme="minorHAnsi"/>
        </w:rPr>
        <w:t xml:space="preserve"> We </w:t>
      </w:r>
      <w:r w:rsidR="00454ADA">
        <w:rPr>
          <w:rFonts w:cstheme="minorHAnsi"/>
        </w:rPr>
        <w:t xml:space="preserve">also distributed £13,878 in grants from </w:t>
      </w:r>
      <w:r w:rsidR="00454ADA" w:rsidRPr="00454ADA">
        <w:rPr>
          <w:rFonts w:cstheme="minorHAnsi"/>
          <w:b/>
          <w:bCs/>
        </w:rPr>
        <w:t>Martineau Care, L D Rope,</w:t>
      </w:r>
      <w:r w:rsidRPr="00454ADA">
        <w:rPr>
          <w:rFonts w:cstheme="minorHAnsi"/>
          <w:b/>
          <w:bCs/>
        </w:rPr>
        <w:t xml:space="preserve"> Household Support and Surviving Winter </w:t>
      </w:r>
      <w:r w:rsidR="00454ADA">
        <w:rPr>
          <w:rFonts w:cstheme="minorHAnsi"/>
          <w:b/>
          <w:bCs/>
        </w:rPr>
        <w:t>f</w:t>
      </w:r>
      <w:r w:rsidR="00454ADA" w:rsidRPr="00454ADA">
        <w:rPr>
          <w:rFonts w:cstheme="minorHAnsi"/>
          <w:b/>
          <w:bCs/>
        </w:rPr>
        <w:t>unds</w:t>
      </w:r>
      <w:r>
        <w:rPr>
          <w:rFonts w:cstheme="minorHAnsi"/>
        </w:rPr>
        <w:t xml:space="preserve"> </w:t>
      </w:r>
      <w:r w:rsidR="00454ADA">
        <w:rPr>
          <w:rFonts w:cstheme="minorHAnsi"/>
        </w:rPr>
        <w:t xml:space="preserve">to </w:t>
      </w:r>
      <w:r>
        <w:rPr>
          <w:rFonts w:cstheme="minorHAnsi"/>
        </w:rPr>
        <w:t>clients in need.</w:t>
      </w:r>
    </w:p>
    <w:p w14:paraId="54098BE9" w14:textId="77777777" w:rsidR="00B71561" w:rsidRDefault="00B71561" w:rsidP="0047031D">
      <w:pPr>
        <w:pStyle w:val="Default"/>
        <w:rPr>
          <w:sz w:val="22"/>
          <w:szCs w:val="22"/>
        </w:rPr>
      </w:pPr>
    </w:p>
    <w:p w14:paraId="6A7A4D5F" w14:textId="77777777" w:rsidR="0047031D" w:rsidRDefault="0047031D" w:rsidP="0047031D">
      <w:pPr>
        <w:pStyle w:val="Default"/>
        <w:rPr>
          <w:sz w:val="22"/>
          <w:szCs w:val="22"/>
        </w:rPr>
      </w:pPr>
    </w:p>
    <w:p w14:paraId="213E3D16" w14:textId="6BBA417E" w:rsidR="00BD1145" w:rsidRDefault="00BD1145" w:rsidP="00A817C2">
      <w:pPr>
        <w:pStyle w:val="NoSpacing"/>
        <w:rPr>
          <w:b/>
          <w:bCs/>
        </w:rPr>
      </w:pPr>
      <w:r w:rsidRPr="00BD1145">
        <w:rPr>
          <w:bCs/>
        </w:rPr>
        <w:t>We are supported financially by East Suffolk Council with an annual grant of £22,500 (which includes providing the secretariat for Waveney Disability Forum) and by Suffolk County Council with £30,000 from Suffolk Public Health. Our income in 2024/25 was around £290,000 of which 18% was from these public sector grants and the remaining 82%  was raised through project bids, fundraising activities and donations. That means that </w:t>
      </w:r>
      <w:r w:rsidRPr="00BD1145">
        <w:rPr>
          <w:b/>
          <w:bCs/>
        </w:rPr>
        <w:t>for every £1 invested in us by  Public Sector grants we levered in £4.52 in additional funding.</w:t>
      </w:r>
    </w:p>
    <w:p w14:paraId="44451293" w14:textId="77777777" w:rsidR="00BD1145" w:rsidRDefault="00BD1145" w:rsidP="00A817C2">
      <w:pPr>
        <w:pStyle w:val="NoSpacing"/>
        <w:rPr>
          <w:b/>
          <w:bCs/>
        </w:rPr>
      </w:pPr>
    </w:p>
    <w:p w14:paraId="08FF31FC" w14:textId="3D026DE2" w:rsidR="00A817C2" w:rsidRDefault="00A817C2" w:rsidP="00A817C2">
      <w:pPr>
        <w:pStyle w:val="NoSpacing"/>
        <w:rPr>
          <w:bCs/>
        </w:rPr>
      </w:pPr>
      <w:r>
        <w:rPr>
          <w:bCs/>
        </w:rPr>
        <w:t xml:space="preserve">We acquired the lease for the whole of 161 Rotterdam Road in November 2023, were well supported by town, district and county councils to refurbish the space to enable us to offer something much more holistic to the local community of people with disabilities. In June 2024 we secured funding over 5 years from the </w:t>
      </w:r>
      <w:r w:rsidRPr="009920E0">
        <w:rPr>
          <w:b/>
        </w:rPr>
        <w:t>National Lottery Reaching Communities Fund</w:t>
      </w:r>
      <w:r>
        <w:rPr>
          <w:bCs/>
        </w:rPr>
        <w:t xml:space="preserve">  to enable us to pay the additional property costs and for increased staffing. In December 2024 we secured unrestricted funding and business support over three years from </w:t>
      </w:r>
      <w:r w:rsidRPr="0047031D">
        <w:rPr>
          <w:b/>
        </w:rPr>
        <w:t>Lloyds Foundation</w:t>
      </w:r>
      <w:r>
        <w:rPr>
          <w:bCs/>
        </w:rPr>
        <w:t xml:space="preserve"> which will help us to make the charity financially sustainable.</w:t>
      </w:r>
    </w:p>
    <w:p w14:paraId="49C3C469" w14:textId="77777777" w:rsidR="005E0007" w:rsidRDefault="005E0007" w:rsidP="00A817C2">
      <w:pPr>
        <w:pStyle w:val="NoSpacing"/>
        <w:rPr>
          <w:bCs/>
        </w:rPr>
      </w:pPr>
    </w:p>
    <w:p w14:paraId="36572488" w14:textId="62AB283E" w:rsidR="00D23559" w:rsidRDefault="005E0007" w:rsidP="005E0007">
      <w:pPr>
        <w:rPr>
          <w:bCs/>
        </w:rPr>
      </w:pPr>
      <w:r>
        <w:rPr>
          <w:rFonts w:ascii="Calibri" w:hAnsi="Calibri" w:cs="Calibri"/>
          <w:color w:val="000000"/>
          <w:shd w:val="clear" w:color="auto" w:fill="FFFFFF"/>
        </w:rPr>
        <w:t xml:space="preserve">We have been known mainly for the information and advice we offer about benefit entitlements or assistance with the appeals process if an application for benefits has been turned down.  But we can now go much further than this because we treat every client as an individual and look for ways to enable them to lead the best life they can by offering these social activities in the Hub.  </w:t>
      </w:r>
      <w:r>
        <w:t xml:space="preserve">Out of those users who have completed questionnaires, everyone has said they feel less isolated.  They enjoy the company, it’s something to look forward to each week, they like meeting new people, it’s a safe environment. There is a section on our feedback form for our clients to have an input into to what groups and activities we provide moving forward. </w:t>
      </w:r>
    </w:p>
    <w:p w14:paraId="412D5901" w14:textId="77777777" w:rsidR="00A817C2" w:rsidRDefault="00A817C2" w:rsidP="00A817C2">
      <w:pPr>
        <w:pStyle w:val="NoSpacing"/>
        <w:rPr>
          <w:bCs/>
        </w:rPr>
      </w:pPr>
      <w:r>
        <w:rPr>
          <w:bCs/>
        </w:rPr>
        <w:t>We have offered a variety of activities in this Community Hub which include:</w:t>
      </w:r>
    </w:p>
    <w:p w14:paraId="03BC5325" w14:textId="77777777" w:rsidR="00A817C2" w:rsidRDefault="00A817C2" w:rsidP="00A817C2">
      <w:pPr>
        <w:pStyle w:val="NoSpacing"/>
        <w:rPr>
          <w:bCs/>
        </w:rPr>
      </w:pPr>
    </w:p>
    <w:p w14:paraId="6ACE7114" w14:textId="77777777" w:rsidR="00A817C2" w:rsidRDefault="00A817C2" w:rsidP="00A817C2">
      <w:pPr>
        <w:pStyle w:val="NoSpacing"/>
        <w:numPr>
          <w:ilvl w:val="0"/>
          <w:numId w:val="7"/>
        </w:numPr>
        <w:rPr>
          <w:bCs/>
        </w:rPr>
      </w:pPr>
      <w:r>
        <w:rPr>
          <w:bCs/>
        </w:rPr>
        <w:t>Catch up and colour social sessions to improve mental wellbeing</w:t>
      </w:r>
    </w:p>
    <w:p w14:paraId="0CD506C7" w14:textId="77777777" w:rsidR="00A817C2" w:rsidRDefault="00A817C2" w:rsidP="00A817C2">
      <w:pPr>
        <w:pStyle w:val="NoSpacing"/>
        <w:numPr>
          <w:ilvl w:val="0"/>
          <w:numId w:val="7"/>
        </w:numPr>
        <w:rPr>
          <w:bCs/>
        </w:rPr>
      </w:pPr>
      <w:r>
        <w:rPr>
          <w:bCs/>
        </w:rPr>
        <w:t>Weekly Otago classes for prevention of falls</w:t>
      </w:r>
    </w:p>
    <w:p w14:paraId="6371B32B" w14:textId="77777777" w:rsidR="00A817C2" w:rsidRDefault="00A817C2" w:rsidP="00A817C2">
      <w:pPr>
        <w:pStyle w:val="NoSpacing"/>
        <w:numPr>
          <w:ilvl w:val="0"/>
          <w:numId w:val="7"/>
        </w:numPr>
        <w:rPr>
          <w:bCs/>
        </w:rPr>
      </w:pPr>
      <w:r>
        <w:rPr>
          <w:bCs/>
        </w:rPr>
        <w:t xml:space="preserve">Weekly Seated exercise  classes to improve core strength and flexibility for those with limited mobility </w:t>
      </w:r>
    </w:p>
    <w:p w14:paraId="1BF35F46" w14:textId="77777777" w:rsidR="00A817C2" w:rsidRDefault="00A817C2" w:rsidP="00A817C2">
      <w:pPr>
        <w:pStyle w:val="NoSpacing"/>
        <w:numPr>
          <w:ilvl w:val="0"/>
          <w:numId w:val="7"/>
        </w:numPr>
        <w:rPr>
          <w:bCs/>
        </w:rPr>
      </w:pPr>
      <w:r>
        <w:rPr>
          <w:bCs/>
        </w:rPr>
        <w:t>Crafty Creations social sessions to improve mental wellbeing</w:t>
      </w:r>
    </w:p>
    <w:p w14:paraId="629AD46C" w14:textId="77777777" w:rsidR="00A817C2" w:rsidRDefault="00A817C2" w:rsidP="00A817C2">
      <w:pPr>
        <w:pStyle w:val="NoSpacing"/>
        <w:numPr>
          <w:ilvl w:val="0"/>
          <w:numId w:val="7"/>
        </w:numPr>
        <w:rPr>
          <w:bCs/>
        </w:rPr>
      </w:pPr>
      <w:r>
        <w:rPr>
          <w:bCs/>
        </w:rPr>
        <w:t xml:space="preserve">Weekly Coffee mornings to combat loneliness </w:t>
      </w:r>
    </w:p>
    <w:p w14:paraId="68D424D3" w14:textId="40DD417F" w:rsidR="00A817C2" w:rsidRDefault="00A817C2" w:rsidP="00A817C2">
      <w:pPr>
        <w:pStyle w:val="NoSpacing"/>
        <w:numPr>
          <w:ilvl w:val="0"/>
          <w:numId w:val="7"/>
        </w:numPr>
        <w:rPr>
          <w:bCs/>
        </w:rPr>
      </w:pPr>
      <w:r>
        <w:rPr>
          <w:bCs/>
        </w:rPr>
        <w:t>Louise Hamilton Centre (LHC)</w:t>
      </w:r>
      <w:r w:rsidR="00812C0C">
        <w:rPr>
          <w:bCs/>
        </w:rPr>
        <w:t xml:space="preserve"> </w:t>
      </w:r>
      <w:r>
        <w:rPr>
          <w:bCs/>
        </w:rPr>
        <w:t>staff providing monthly outreach sessions</w:t>
      </w:r>
    </w:p>
    <w:p w14:paraId="2D959A94" w14:textId="77777777" w:rsidR="00A817C2" w:rsidRDefault="00A817C2" w:rsidP="00A817C2">
      <w:pPr>
        <w:pStyle w:val="NoSpacing"/>
        <w:numPr>
          <w:ilvl w:val="0"/>
          <w:numId w:val="7"/>
        </w:numPr>
        <w:rPr>
          <w:bCs/>
        </w:rPr>
      </w:pPr>
      <w:r>
        <w:rPr>
          <w:bCs/>
        </w:rPr>
        <w:t>Suffolk Sight staff providing monthly outreach sessions</w:t>
      </w:r>
    </w:p>
    <w:p w14:paraId="5F57F721" w14:textId="77777777" w:rsidR="00A817C2" w:rsidRPr="0008137E" w:rsidRDefault="00A817C2" w:rsidP="00A817C2">
      <w:pPr>
        <w:pStyle w:val="NoSpacing"/>
        <w:numPr>
          <w:ilvl w:val="0"/>
          <w:numId w:val="7"/>
        </w:numPr>
        <w:rPr>
          <w:rFonts w:ascii="Calibri" w:hAnsi="Calibri" w:cs="Calibri"/>
          <w:color w:val="000000"/>
          <w:shd w:val="clear" w:color="auto" w:fill="FFFFFF"/>
        </w:rPr>
      </w:pPr>
      <w:r w:rsidRPr="0008137E">
        <w:rPr>
          <w:bCs/>
        </w:rPr>
        <w:t>Slow cooking events to provide budget friendly ways of preparing healthy food</w:t>
      </w:r>
    </w:p>
    <w:p w14:paraId="4CB0A53F" w14:textId="77777777" w:rsidR="00A817C2" w:rsidRPr="0008137E" w:rsidRDefault="00A817C2" w:rsidP="00A817C2">
      <w:pPr>
        <w:pStyle w:val="NoSpacing"/>
        <w:numPr>
          <w:ilvl w:val="0"/>
          <w:numId w:val="7"/>
        </w:numPr>
        <w:rPr>
          <w:rFonts w:ascii="Calibri" w:hAnsi="Calibri" w:cs="Calibri"/>
          <w:color w:val="000000"/>
          <w:shd w:val="clear" w:color="auto" w:fill="FFFFFF"/>
        </w:rPr>
      </w:pPr>
      <w:r>
        <w:rPr>
          <w:bCs/>
        </w:rPr>
        <w:t>A Warm Space open 4 days a week, following on from Warm Room initiative, for refreshments, activities and chat</w:t>
      </w:r>
    </w:p>
    <w:p w14:paraId="2FC0502F" w14:textId="77777777" w:rsidR="00A817C2" w:rsidRPr="0008137E" w:rsidRDefault="00A817C2" w:rsidP="00A817C2">
      <w:pPr>
        <w:pStyle w:val="NoSpacing"/>
        <w:numPr>
          <w:ilvl w:val="0"/>
          <w:numId w:val="7"/>
        </w:numPr>
        <w:rPr>
          <w:rFonts w:ascii="Calibri" w:hAnsi="Calibri" w:cs="Calibri"/>
          <w:color w:val="000000"/>
          <w:shd w:val="clear" w:color="auto" w:fill="FFFFFF"/>
        </w:rPr>
      </w:pPr>
      <w:r>
        <w:rPr>
          <w:bCs/>
        </w:rPr>
        <w:t xml:space="preserve">Cook, chop and chat sessions for Veterans preparing and eating a meal together </w:t>
      </w:r>
    </w:p>
    <w:p w14:paraId="32444DAC" w14:textId="7B71C897" w:rsidR="00A817C2" w:rsidRPr="00454ADA" w:rsidRDefault="00A817C2" w:rsidP="0047031D">
      <w:pPr>
        <w:pStyle w:val="NoSpacing"/>
        <w:numPr>
          <w:ilvl w:val="0"/>
          <w:numId w:val="7"/>
        </w:numPr>
        <w:rPr>
          <w:rFonts w:ascii="Calibri" w:hAnsi="Calibri" w:cs="Calibri"/>
          <w:color w:val="000000"/>
          <w:shd w:val="clear" w:color="auto" w:fill="FFFFFF"/>
        </w:rPr>
      </w:pPr>
      <w:r w:rsidRPr="00454ADA">
        <w:rPr>
          <w:bCs/>
        </w:rPr>
        <w:t>Support group for parents of children with autism/ADHD</w:t>
      </w:r>
    </w:p>
    <w:p w14:paraId="3DE79838" w14:textId="77777777" w:rsidR="00D23559" w:rsidRDefault="00D23559" w:rsidP="00812C0C">
      <w:pPr>
        <w:rPr>
          <w:rFonts w:ascii="Calibri" w:hAnsi="Calibri" w:cs="Calibri"/>
          <w:color w:val="000000"/>
          <w:shd w:val="clear" w:color="auto" w:fill="FFFFFF"/>
        </w:rPr>
      </w:pPr>
    </w:p>
    <w:p w14:paraId="2391BFEF" w14:textId="0D39887C" w:rsidR="00454ADA" w:rsidRPr="0008137E" w:rsidRDefault="00A7642E" w:rsidP="00454ADA">
      <w:pPr>
        <w:rPr>
          <w:rFonts w:ascii="Calibri" w:hAnsi="Calibri" w:cs="Calibri"/>
          <w:color w:val="000000"/>
          <w:shd w:val="clear" w:color="auto" w:fill="FFFFFF"/>
        </w:rPr>
      </w:pPr>
      <w:r>
        <w:t xml:space="preserve">Part of the Manager’s job is pro-active partnership working within the community  to promote our service and to listen to what is needed. </w:t>
      </w:r>
      <w:r w:rsidR="006600F1">
        <w:t>She is involved in the Waveney Health &amp; Well-being Partnership, Carers Community Network, Waveney Domestic Abuse Forum, and is on the steering group for Nucleus at East Coast College, ensuring those with a disability get work opportunities. She was also part of the steering group for Suffolk County Council’s Digital Inclusion project. She makes a wide range</w:t>
      </w:r>
      <w:r w:rsidR="002066AA">
        <w:t xml:space="preserve"> of</w:t>
      </w:r>
      <w:r w:rsidR="006600F1">
        <w:t xml:space="preserve"> </w:t>
      </w:r>
      <w:r>
        <w:t>presentations</w:t>
      </w:r>
      <w:r w:rsidR="002066AA">
        <w:t xml:space="preserve"> </w:t>
      </w:r>
      <w:r>
        <w:t xml:space="preserve"> about our work; </w:t>
      </w:r>
      <w:r w:rsidR="002066AA">
        <w:t>attends</w:t>
      </w:r>
      <w:r>
        <w:t xml:space="preserve"> events</w:t>
      </w:r>
      <w:r w:rsidR="002066AA">
        <w:t xml:space="preserve"> such as</w:t>
      </w:r>
      <w:r>
        <w:t xml:space="preserve"> meetings of Parish Town and District Councils</w:t>
      </w:r>
      <w:r w:rsidR="002066AA">
        <w:t>,</w:t>
      </w:r>
      <w:r w:rsidR="00B25CF6">
        <w:t xml:space="preserve"> </w:t>
      </w:r>
      <w:r>
        <w:t>School Parents’ evenings for children with disabilities</w:t>
      </w:r>
      <w:r w:rsidR="002066AA">
        <w:t>,</w:t>
      </w:r>
      <w:r>
        <w:t xml:space="preserve"> Louise Hamilton Centre</w:t>
      </w:r>
      <w:r w:rsidR="002066AA">
        <w:t xml:space="preserve"> at the local hospital</w:t>
      </w:r>
      <w:r>
        <w:t xml:space="preserve">, Carers’ events, over 60s clubs; Involve Active and St Luke’s Ladies’ Guild;  East Coast College SLDD leavers’ event;  Wellbeing Days at  </w:t>
      </w:r>
      <w:proofErr w:type="spellStart"/>
      <w:r>
        <w:t>JobCentre</w:t>
      </w:r>
      <w:r w:rsidR="00454ADA">
        <w:t>s</w:t>
      </w:r>
      <w:proofErr w:type="spellEnd"/>
      <w:r>
        <w:t xml:space="preserve"> and </w:t>
      </w:r>
      <w:r w:rsidR="00454ADA">
        <w:t>l</w:t>
      </w:r>
      <w:r>
        <w:t>ibrar</w:t>
      </w:r>
      <w:r w:rsidR="00454ADA">
        <w:t>ies</w:t>
      </w:r>
      <w:r>
        <w:t xml:space="preserve">. </w:t>
      </w:r>
      <w:r w:rsidR="00454ADA" w:rsidRPr="00CB2791">
        <w:rPr>
          <w:rFonts w:cstheme="minorHAnsi"/>
        </w:rPr>
        <w:t xml:space="preserve">The range of partners with whom we engage for the benefit of clients has increased markedly  which has resulted in a wider range of referrals from Mental Health professionals, physio and occupational therapists, GPs, Social Services, Social Prescribing Service, Access Community Trust, Jobcentres, East Suffolk Council, Citizens Advice and the Pear Tree Centre all of whom made at least 10 referrals. </w:t>
      </w:r>
    </w:p>
    <w:p w14:paraId="5699008C" w14:textId="55647F87" w:rsidR="00CB2791" w:rsidRPr="00CB2791" w:rsidRDefault="00B555CD" w:rsidP="00BB3CFD">
      <w:pPr>
        <w:rPr>
          <w:rFonts w:ascii="Calibri" w:hAnsi="Calibri" w:cs="Calibri"/>
          <w:color w:val="000000"/>
          <w:shd w:val="clear" w:color="auto" w:fill="FFFFFF"/>
        </w:rPr>
      </w:pPr>
      <w:r>
        <w:rPr>
          <w:rFonts w:cstheme="minorHAnsi"/>
          <w:shd w:val="clear" w:color="auto" w:fill="FFFFFF"/>
        </w:rPr>
        <w:t xml:space="preserve">We offer </w:t>
      </w:r>
      <w:r w:rsidRPr="0096070F">
        <w:rPr>
          <w:rFonts w:cstheme="minorHAnsi"/>
          <w:b/>
          <w:bCs/>
          <w:shd w:val="clear" w:color="auto" w:fill="FFFFFF"/>
        </w:rPr>
        <w:t>regular outreach services</w:t>
      </w:r>
      <w:r>
        <w:rPr>
          <w:rFonts w:cstheme="minorHAnsi"/>
          <w:shd w:val="clear" w:color="auto" w:fill="FFFFFF"/>
        </w:rPr>
        <w:t xml:space="preserve"> in Beccles and Lowestoft Job Centres</w:t>
      </w:r>
      <w:r w:rsidR="00765973">
        <w:rPr>
          <w:rFonts w:cstheme="minorHAnsi"/>
          <w:shd w:val="clear" w:color="auto" w:fill="FFFFFF"/>
        </w:rPr>
        <w:t xml:space="preserve"> (61 clients);</w:t>
      </w:r>
      <w:r>
        <w:rPr>
          <w:rFonts w:cstheme="minorHAnsi"/>
          <w:shd w:val="clear" w:color="auto" w:fill="FFFFFF"/>
        </w:rPr>
        <w:t xml:space="preserve"> </w:t>
      </w:r>
      <w:r w:rsidR="005634EB">
        <w:rPr>
          <w:rFonts w:cstheme="minorHAnsi"/>
          <w:shd w:val="clear" w:color="auto" w:fill="FFFFFF"/>
        </w:rPr>
        <w:t>Beccles and Bungay libraries</w:t>
      </w:r>
      <w:r w:rsidR="00765973">
        <w:rPr>
          <w:rFonts w:cstheme="minorHAnsi"/>
          <w:shd w:val="clear" w:color="auto" w:fill="FFFFFF"/>
        </w:rPr>
        <w:t xml:space="preserve"> and </w:t>
      </w:r>
      <w:r w:rsidR="005634EB">
        <w:rPr>
          <w:rFonts w:cstheme="minorHAnsi"/>
          <w:shd w:val="clear" w:color="auto" w:fill="FFFFFF"/>
        </w:rPr>
        <w:t xml:space="preserve"> </w:t>
      </w:r>
      <w:r>
        <w:rPr>
          <w:rFonts w:cstheme="minorHAnsi"/>
          <w:shd w:val="clear" w:color="auto" w:fill="FFFFFF"/>
        </w:rPr>
        <w:t>Bungay Medical Centre</w:t>
      </w:r>
      <w:r w:rsidR="00765973">
        <w:rPr>
          <w:rFonts w:cstheme="minorHAnsi"/>
          <w:shd w:val="clear" w:color="auto" w:fill="FFFFFF"/>
        </w:rPr>
        <w:t xml:space="preserve"> (35 clients);</w:t>
      </w:r>
      <w:r>
        <w:rPr>
          <w:rFonts w:cstheme="minorHAnsi"/>
          <w:shd w:val="clear" w:color="auto" w:fill="FFFFFF"/>
        </w:rPr>
        <w:t xml:space="preserve"> the Pear Tree Centre in Halesworth</w:t>
      </w:r>
      <w:r w:rsidR="00765973">
        <w:rPr>
          <w:rFonts w:cstheme="minorHAnsi"/>
          <w:shd w:val="clear" w:color="auto" w:fill="FFFFFF"/>
        </w:rPr>
        <w:t xml:space="preserve"> (139 clients); Louise Hamilton Centre at James Paget Hospital (56 clients);</w:t>
      </w:r>
      <w:r w:rsidR="00341489">
        <w:rPr>
          <w:rFonts w:cstheme="minorHAnsi"/>
          <w:shd w:val="clear" w:color="auto" w:fill="FFFFFF"/>
        </w:rPr>
        <w:t xml:space="preserve"> and </w:t>
      </w:r>
      <w:r>
        <w:rPr>
          <w:rFonts w:cstheme="minorHAnsi"/>
          <w:shd w:val="clear" w:color="auto" w:fill="FFFFFF"/>
        </w:rPr>
        <w:t>Marram Green, Kessingland</w:t>
      </w:r>
      <w:r w:rsidR="00765973">
        <w:rPr>
          <w:rFonts w:cstheme="minorHAnsi"/>
          <w:shd w:val="clear" w:color="auto" w:fill="FFFFFF"/>
        </w:rPr>
        <w:t xml:space="preserve"> (14 clients)</w:t>
      </w:r>
      <w:r>
        <w:rPr>
          <w:rFonts w:cstheme="minorHAnsi"/>
          <w:shd w:val="clear" w:color="auto" w:fill="FFFFFF"/>
        </w:rPr>
        <w:t xml:space="preserve">. </w:t>
      </w:r>
      <w:r w:rsidR="00341489">
        <w:rPr>
          <w:rFonts w:cstheme="minorHAnsi"/>
          <w:shd w:val="clear" w:color="auto" w:fill="FFFFFF"/>
        </w:rPr>
        <w:t xml:space="preserve">The frequency of the service depends on </w:t>
      </w:r>
      <w:r w:rsidR="00765973">
        <w:rPr>
          <w:rFonts w:cstheme="minorHAnsi"/>
          <w:shd w:val="clear" w:color="auto" w:fill="FFFFFF"/>
        </w:rPr>
        <w:t xml:space="preserve">the </w:t>
      </w:r>
      <w:r w:rsidR="00341489">
        <w:rPr>
          <w:rFonts w:cstheme="minorHAnsi"/>
          <w:shd w:val="clear" w:color="auto" w:fill="FFFFFF"/>
        </w:rPr>
        <w:t>funding</w:t>
      </w:r>
      <w:r w:rsidR="00765973">
        <w:rPr>
          <w:rFonts w:cstheme="minorHAnsi"/>
          <w:shd w:val="clear" w:color="auto" w:fill="FFFFFF"/>
        </w:rPr>
        <w:t xml:space="preserve"> we receive which </w:t>
      </w:r>
      <w:r w:rsidR="00AD6B89">
        <w:rPr>
          <w:rFonts w:cstheme="minorHAnsi"/>
          <w:shd w:val="clear" w:color="auto" w:fill="FFFFFF"/>
        </w:rPr>
        <w:t>was</w:t>
      </w:r>
      <w:r w:rsidR="00765973">
        <w:rPr>
          <w:rFonts w:cstheme="minorHAnsi"/>
          <w:shd w:val="clear" w:color="auto" w:fill="FFFFFF"/>
        </w:rPr>
        <w:t xml:space="preserve"> from </w:t>
      </w:r>
      <w:r w:rsidR="00765973" w:rsidRPr="00AD6B89">
        <w:rPr>
          <w:rFonts w:cstheme="minorHAnsi"/>
          <w:b/>
          <w:bCs/>
          <w:shd w:val="clear" w:color="auto" w:fill="FFFFFF"/>
        </w:rPr>
        <w:t xml:space="preserve">Kessingland Parish Council, the Pear Tree Centre, </w:t>
      </w:r>
      <w:r w:rsidR="00AD6B89" w:rsidRPr="00AD6B89">
        <w:rPr>
          <w:rFonts w:cstheme="minorHAnsi"/>
          <w:b/>
          <w:bCs/>
          <w:shd w:val="clear" w:color="auto" w:fill="FFFFFF"/>
        </w:rPr>
        <w:t xml:space="preserve">National Lottery </w:t>
      </w:r>
      <w:r w:rsidR="00765973" w:rsidRPr="00AD6B89">
        <w:rPr>
          <w:rFonts w:cstheme="minorHAnsi"/>
          <w:b/>
          <w:bCs/>
          <w:shd w:val="clear" w:color="auto" w:fill="FFFFFF"/>
        </w:rPr>
        <w:lastRenderedPageBreak/>
        <w:t>Awards for All</w:t>
      </w:r>
      <w:r w:rsidR="00765973">
        <w:rPr>
          <w:rFonts w:cstheme="minorHAnsi"/>
          <w:shd w:val="clear" w:color="auto" w:fill="FFFFFF"/>
        </w:rPr>
        <w:t xml:space="preserve"> and is part of the Service Level Agreement with East Suffolk Council. On average </w:t>
      </w:r>
      <w:r w:rsidR="00AD6B89">
        <w:rPr>
          <w:rFonts w:cstheme="minorHAnsi"/>
          <w:shd w:val="clear" w:color="auto" w:fill="FFFFFF"/>
        </w:rPr>
        <w:t>the annual</w:t>
      </w:r>
      <w:r w:rsidR="00765973">
        <w:rPr>
          <w:rFonts w:cstheme="minorHAnsi"/>
          <w:shd w:val="clear" w:color="auto" w:fill="FFFFFF"/>
        </w:rPr>
        <w:t xml:space="preserve"> cost</w:t>
      </w:r>
      <w:r w:rsidR="00AD6B89">
        <w:rPr>
          <w:rFonts w:cstheme="minorHAnsi"/>
          <w:shd w:val="clear" w:color="auto" w:fill="FFFFFF"/>
        </w:rPr>
        <w:t xml:space="preserve"> of a monthly</w:t>
      </w:r>
      <w:r w:rsidR="00765973">
        <w:rPr>
          <w:rFonts w:cstheme="minorHAnsi"/>
          <w:shd w:val="clear" w:color="auto" w:fill="FFFFFF"/>
        </w:rPr>
        <w:t xml:space="preserve"> </w:t>
      </w:r>
      <w:r w:rsidR="00AD6B89">
        <w:rPr>
          <w:rFonts w:cstheme="minorHAnsi"/>
          <w:shd w:val="clear" w:color="auto" w:fill="FFFFFF"/>
        </w:rPr>
        <w:t xml:space="preserve"> outreach service for half a day is £1,500 and £11,000 for a weekly full-day service. We also provided 243 home visits. </w:t>
      </w:r>
      <w:r>
        <w:rPr>
          <w:rFonts w:cstheme="minorHAnsi"/>
        </w:rPr>
        <w:t xml:space="preserve">We do this if </w:t>
      </w:r>
      <w:r w:rsidR="0051536D">
        <w:rPr>
          <w:rFonts w:cstheme="minorHAnsi"/>
        </w:rPr>
        <w:t>a client is</w:t>
      </w:r>
      <w:r>
        <w:rPr>
          <w:rFonts w:cstheme="minorHAnsi"/>
        </w:rPr>
        <w:t xml:space="preserve"> unable to leave the house because of their condition</w:t>
      </w:r>
      <w:r w:rsidRPr="00B960AD">
        <w:rPr>
          <w:rFonts w:cstheme="minorHAnsi"/>
        </w:rPr>
        <w:t>.</w:t>
      </w:r>
      <w:r>
        <w:rPr>
          <w:rFonts w:cstheme="minorHAnsi"/>
        </w:rPr>
        <w:t xml:space="preserve"> </w:t>
      </w:r>
      <w:r w:rsidR="00733E6F">
        <w:rPr>
          <w:rFonts w:cstheme="minorHAnsi"/>
        </w:rPr>
        <w:t xml:space="preserve">This service is funded </w:t>
      </w:r>
      <w:r w:rsidR="00733E6F" w:rsidRPr="00AD6B89">
        <w:rPr>
          <w:rFonts w:cstheme="minorHAnsi"/>
        </w:rPr>
        <w:t xml:space="preserve">by the </w:t>
      </w:r>
      <w:r w:rsidR="00733E6F" w:rsidRPr="00AD6B89">
        <w:rPr>
          <w:rFonts w:cstheme="minorHAnsi"/>
          <w:b/>
          <w:bCs/>
        </w:rPr>
        <w:t>David and Jill Simpson Fund</w:t>
      </w:r>
      <w:r w:rsidR="00944DD2" w:rsidRPr="00AD6B89">
        <w:rPr>
          <w:rFonts w:cstheme="minorHAnsi"/>
        </w:rPr>
        <w:t xml:space="preserve"> through Suffolk Community Foundation</w:t>
      </w:r>
      <w:r w:rsidR="00733E6F" w:rsidRPr="00AD6B89">
        <w:rPr>
          <w:rFonts w:cstheme="minorHAnsi"/>
        </w:rPr>
        <w:t>.</w:t>
      </w:r>
    </w:p>
    <w:p w14:paraId="1E20D341" w14:textId="520D01C3" w:rsidR="003F3294" w:rsidRDefault="00454ADA" w:rsidP="003F3294">
      <w:pPr>
        <w:rPr>
          <w:rFonts w:ascii="Calibri" w:hAnsi="Calibri" w:cs="Calibri"/>
          <w:color w:val="000000"/>
          <w:shd w:val="clear" w:color="auto" w:fill="FFFFFF"/>
        </w:rPr>
      </w:pPr>
      <w:r>
        <w:rPr>
          <w:rFonts w:ascii="Calibri" w:hAnsi="Calibri" w:cs="Calibri"/>
          <w:color w:val="000000"/>
          <w:shd w:val="clear" w:color="auto" w:fill="FFFFFF"/>
        </w:rPr>
        <w:t>Many clients approach us for immediate help but h</w:t>
      </w:r>
      <w:r w:rsidR="003F3294">
        <w:rPr>
          <w:rFonts w:ascii="Calibri" w:hAnsi="Calibri" w:cs="Calibri"/>
          <w:color w:val="000000"/>
          <w:shd w:val="clear" w:color="auto" w:fill="FFFFFF"/>
        </w:rPr>
        <w:t xml:space="preserve">ere are </w:t>
      </w:r>
      <w:r>
        <w:rPr>
          <w:rFonts w:ascii="Calibri" w:hAnsi="Calibri" w:cs="Calibri"/>
          <w:color w:val="000000"/>
          <w:shd w:val="clear" w:color="auto" w:fill="FFFFFF"/>
        </w:rPr>
        <w:t xml:space="preserve">some </w:t>
      </w:r>
      <w:r w:rsidR="003F3294">
        <w:rPr>
          <w:rFonts w:ascii="Calibri" w:hAnsi="Calibri" w:cs="Calibri"/>
          <w:color w:val="000000"/>
          <w:shd w:val="clear" w:color="auto" w:fill="FFFFFF"/>
        </w:rPr>
        <w:t xml:space="preserve">examples of additional </w:t>
      </w:r>
      <w:r>
        <w:rPr>
          <w:rFonts w:ascii="Calibri" w:hAnsi="Calibri" w:cs="Calibri"/>
          <w:color w:val="000000"/>
          <w:shd w:val="clear" w:color="auto" w:fill="FFFFFF"/>
        </w:rPr>
        <w:t xml:space="preserve">long </w:t>
      </w:r>
      <w:r w:rsidR="003F3294">
        <w:rPr>
          <w:rFonts w:ascii="Calibri" w:hAnsi="Calibri" w:cs="Calibri"/>
          <w:color w:val="000000"/>
          <w:shd w:val="clear" w:color="auto" w:fill="FFFFFF"/>
        </w:rPr>
        <w:t>programmes we  offered in 2024/25 :</w:t>
      </w:r>
    </w:p>
    <w:p w14:paraId="56C28FF0" w14:textId="77777777" w:rsidR="00CB2791" w:rsidRDefault="00CB2791" w:rsidP="00CB2791">
      <w:pPr>
        <w:pStyle w:val="NoSpacing"/>
        <w:tabs>
          <w:tab w:val="left" w:pos="3420"/>
        </w:tabs>
        <w:rPr>
          <w:b/>
          <w:bCs/>
        </w:rPr>
      </w:pPr>
      <w:r>
        <w:rPr>
          <w:b/>
          <w:bCs/>
        </w:rPr>
        <w:t xml:space="preserve">Physical Activities for people with disabilities (funded by </w:t>
      </w:r>
      <w:r w:rsidRPr="00EE0427">
        <w:rPr>
          <w:b/>
          <w:bCs/>
        </w:rPr>
        <w:t>Sport England</w:t>
      </w:r>
      <w:r>
        <w:rPr>
          <w:b/>
          <w:bCs/>
        </w:rPr>
        <w:t>)</w:t>
      </w:r>
    </w:p>
    <w:p w14:paraId="0118E021" w14:textId="77777777" w:rsidR="00CB2791" w:rsidRDefault="00CB2791" w:rsidP="00CB2791">
      <w:pPr>
        <w:pStyle w:val="NoSpacing"/>
        <w:tabs>
          <w:tab w:val="left" w:pos="3420"/>
        </w:tabs>
      </w:pPr>
    </w:p>
    <w:p w14:paraId="325B01B8" w14:textId="77777777" w:rsidR="00CB2791" w:rsidRDefault="00CB2791" w:rsidP="00CB2791">
      <w:pPr>
        <w:pStyle w:val="NoSpacing"/>
        <w:tabs>
          <w:tab w:val="left" w:pos="3420"/>
        </w:tabs>
      </w:pPr>
      <w:r>
        <w:t xml:space="preserve">We provided different classes in the Hub for people with limited mobility to help to maintain and improve their strength, balance and general flexibility. The activities were specially adapted to meet the needs of the participants. There is the opportunity to socialise and to raise awareness of what else is on offer. </w:t>
      </w:r>
    </w:p>
    <w:p w14:paraId="6F5D0F46" w14:textId="77777777" w:rsidR="00CB2791" w:rsidRPr="00EE0427" w:rsidRDefault="00CB2791" w:rsidP="00CB2791">
      <w:pPr>
        <w:pStyle w:val="NoSpacing"/>
        <w:tabs>
          <w:tab w:val="left" w:pos="3420"/>
        </w:tabs>
        <w:rPr>
          <w:lang w:val="en-US"/>
        </w:rPr>
      </w:pPr>
    </w:p>
    <w:p w14:paraId="6C5528A5" w14:textId="77777777" w:rsidR="003F3294" w:rsidRPr="00B21EBF" w:rsidRDefault="003F3294" w:rsidP="003F3294">
      <w:pPr>
        <w:pStyle w:val="NoSpacing"/>
        <w:rPr>
          <w:b/>
          <w:bCs/>
        </w:rPr>
      </w:pPr>
      <w:r w:rsidRPr="00B21EBF">
        <w:rPr>
          <w:b/>
          <w:bCs/>
        </w:rPr>
        <w:t>Workability in Waveney</w:t>
      </w:r>
      <w:r>
        <w:rPr>
          <w:b/>
          <w:bCs/>
        </w:rPr>
        <w:t xml:space="preserve"> (funded by Bailey Thomas Charitable Fund)</w:t>
      </w:r>
    </w:p>
    <w:p w14:paraId="1A053F73" w14:textId="5867EB3B" w:rsidR="003F3294" w:rsidRDefault="003F3294" w:rsidP="003F3294">
      <w:pPr>
        <w:shd w:val="clear" w:color="auto" w:fill="FFFFFF"/>
        <w:spacing w:after="300" w:line="300" w:lineRule="atLeast"/>
        <w:rPr>
          <w:lang w:val="en-US"/>
        </w:rPr>
      </w:pPr>
      <w:r>
        <w:t xml:space="preserve">This </w:t>
      </w:r>
      <w:r w:rsidR="00944DD2">
        <w:t>funding enabled</w:t>
      </w:r>
      <w:r w:rsidR="009972A7">
        <w:t xml:space="preserve"> 1</w:t>
      </w:r>
      <w:r w:rsidR="00EE3EE1">
        <w:t>0</w:t>
      </w:r>
      <w:r>
        <w:t xml:space="preserve"> individuals with Learning Difficulties who </w:t>
      </w:r>
      <w:r w:rsidR="00B25CF6">
        <w:t>we</w:t>
      </w:r>
      <w:r>
        <w:t>re long-term unemployed or who ha</w:t>
      </w:r>
      <w:r w:rsidR="00B25CF6">
        <w:t>d</w:t>
      </w:r>
      <w:r>
        <w:t xml:space="preserve"> never been employed</w:t>
      </w:r>
      <w:r w:rsidR="00944DD2">
        <w:t xml:space="preserve"> to join </w:t>
      </w:r>
      <w:r>
        <w:t>the programme</w:t>
      </w:r>
      <w:r w:rsidR="00944DD2">
        <w:t>. The aim of which</w:t>
      </w:r>
      <w:r>
        <w:t xml:space="preserve"> is to assess their current capabilities and aspirations and move them towards paid employment, volunteering or further training. </w:t>
      </w:r>
      <w:r w:rsidR="009972A7">
        <w:t xml:space="preserve"> </w:t>
      </w:r>
      <w:r w:rsidR="00EE3EE1">
        <w:t>20%</w:t>
      </w:r>
      <w:r w:rsidR="009972A7">
        <w:t xml:space="preserve"> are now in paid employment, </w:t>
      </w:r>
      <w:r w:rsidR="00EE3EE1">
        <w:t>30%</w:t>
      </w:r>
      <w:r w:rsidR="009972A7">
        <w:t xml:space="preserve"> are doing voluntary work, </w:t>
      </w:r>
      <w:r w:rsidR="00B25CF6">
        <w:t>3</w:t>
      </w:r>
      <w:r w:rsidR="00EE3EE1">
        <w:t>0%</w:t>
      </w:r>
      <w:r w:rsidR="009972A7">
        <w:t xml:space="preserve"> enrolled on further training courses, </w:t>
      </w:r>
      <w:r w:rsidR="00EE3EE1">
        <w:t>10%</w:t>
      </w:r>
      <w:r w:rsidR="009972A7">
        <w:t xml:space="preserve"> completed the programme and gained a lot of independence but did not want to take this any further,</w:t>
      </w:r>
      <w:r w:rsidR="00EE3EE1" w:rsidRPr="00EE3EE1">
        <w:t xml:space="preserve"> </w:t>
      </w:r>
      <w:r w:rsidR="00EE3EE1">
        <w:t>10% relocated out of the area</w:t>
      </w:r>
      <w:r w:rsidR="00B25CF6">
        <w:t>.</w:t>
      </w:r>
      <w:r w:rsidR="00EE3EE1">
        <w:t xml:space="preserve"> </w:t>
      </w:r>
      <w:r w:rsidR="00944DD2">
        <w:t xml:space="preserve">Since </w:t>
      </w:r>
      <w:proofErr w:type="gramStart"/>
      <w:r w:rsidR="00944DD2">
        <w:t>then</w:t>
      </w:r>
      <w:proofErr w:type="gramEnd"/>
      <w:r w:rsidR="00944DD2">
        <w:t xml:space="preserve"> a further </w:t>
      </w:r>
      <w:r w:rsidR="00B25CF6">
        <w:t>9</w:t>
      </w:r>
      <w:r w:rsidR="00944DD2">
        <w:t xml:space="preserve"> have joined the individualised programme which we are funding </w:t>
      </w:r>
      <w:r w:rsidR="006600F1">
        <w:t xml:space="preserve">by some unrestricted funding from the </w:t>
      </w:r>
      <w:r w:rsidR="006600F1" w:rsidRPr="006600F1">
        <w:rPr>
          <w:b/>
          <w:bCs/>
        </w:rPr>
        <w:t>People’s Postcode Lottery</w:t>
      </w:r>
      <w:r w:rsidR="00944DD2">
        <w:t>.</w:t>
      </w:r>
      <w:r w:rsidR="009920E0">
        <w:t xml:space="preserve"> </w:t>
      </w:r>
    </w:p>
    <w:p w14:paraId="565FDBD8" w14:textId="77777777" w:rsidR="003F3294" w:rsidRPr="00B21EBF" w:rsidRDefault="003F3294" w:rsidP="003F3294">
      <w:pPr>
        <w:pStyle w:val="NoSpacing"/>
        <w:tabs>
          <w:tab w:val="left" w:pos="3420"/>
        </w:tabs>
        <w:rPr>
          <w:b/>
          <w:bCs/>
          <w:lang w:val="en-US"/>
        </w:rPr>
      </w:pPr>
      <w:r>
        <w:rPr>
          <w:b/>
          <w:bCs/>
          <w:lang w:val="en-US"/>
        </w:rPr>
        <w:t xml:space="preserve">Tackling Poverty (funded by Suffolk County Council’s Income </w:t>
      </w:r>
      <w:proofErr w:type="spellStart"/>
      <w:r>
        <w:rPr>
          <w:b/>
          <w:bCs/>
          <w:lang w:val="en-US"/>
        </w:rPr>
        <w:t>Maximisation</w:t>
      </w:r>
      <w:proofErr w:type="spellEnd"/>
      <w:r>
        <w:rPr>
          <w:b/>
          <w:bCs/>
          <w:lang w:val="en-US"/>
        </w:rPr>
        <w:t xml:space="preserve"> Fund and East Suffolk Council’s Tackling Poverty Fund)</w:t>
      </w:r>
    </w:p>
    <w:p w14:paraId="2BFE90EA" w14:textId="0E7857E7" w:rsidR="003F3294" w:rsidRDefault="004A14B6" w:rsidP="003F3294">
      <w:pPr>
        <w:pStyle w:val="NoSpacing"/>
        <w:tabs>
          <w:tab w:val="left" w:pos="3420"/>
        </w:tabs>
        <w:rPr>
          <w:lang w:val="en-US"/>
        </w:rPr>
      </w:pPr>
      <w:r>
        <w:rPr>
          <w:lang w:val="en-US"/>
        </w:rPr>
        <w:t xml:space="preserve">We worked with 28 clients on the Income </w:t>
      </w:r>
      <w:proofErr w:type="spellStart"/>
      <w:r>
        <w:rPr>
          <w:lang w:val="en-US"/>
        </w:rPr>
        <w:t>Maximisation</w:t>
      </w:r>
      <w:proofErr w:type="spellEnd"/>
      <w:r>
        <w:rPr>
          <w:lang w:val="en-US"/>
        </w:rPr>
        <w:t xml:space="preserve"> Fund project giving them advice on budgeting, ways to reduce their energy consumption, shop more wisely, minimise energy consumption</w:t>
      </w:r>
      <w:r w:rsidR="00B25CF6">
        <w:rPr>
          <w:lang w:val="en-US"/>
        </w:rPr>
        <w:t xml:space="preserve"> when cooking and</w:t>
      </w:r>
      <w:r>
        <w:rPr>
          <w:lang w:val="en-US"/>
        </w:rPr>
        <w:t xml:space="preserve"> still get a nutritional hot meal each day. We provide</w:t>
      </w:r>
      <w:r w:rsidR="003C7E83">
        <w:rPr>
          <w:lang w:val="en-US"/>
        </w:rPr>
        <w:t>d</w:t>
      </w:r>
      <w:r>
        <w:rPr>
          <w:lang w:val="en-US"/>
        </w:rPr>
        <w:t xml:space="preserve"> food parcels, assist</w:t>
      </w:r>
      <w:r w:rsidR="003C7E83">
        <w:rPr>
          <w:lang w:val="en-US"/>
        </w:rPr>
        <w:t>ed</w:t>
      </w:r>
      <w:r>
        <w:rPr>
          <w:lang w:val="en-US"/>
        </w:rPr>
        <w:t xml:space="preserve"> with applying for the Surviving Winter Fund and </w:t>
      </w:r>
      <w:r w:rsidR="003C7E83">
        <w:rPr>
          <w:lang w:val="en-US"/>
        </w:rPr>
        <w:t>were</w:t>
      </w:r>
      <w:r>
        <w:rPr>
          <w:lang w:val="en-US"/>
        </w:rPr>
        <w:t xml:space="preserve"> able to credit utilities</w:t>
      </w:r>
      <w:r w:rsidR="003C7E83">
        <w:rPr>
          <w:lang w:val="en-US"/>
        </w:rPr>
        <w:t>’</w:t>
      </w:r>
      <w:r>
        <w:rPr>
          <w:lang w:val="en-US"/>
        </w:rPr>
        <w:t xml:space="preserve"> account</w:t>
      </w:r>
      <w:r w:rsidR="003C7E83">
        <w:rPr>
          <w:lang w:val="en-US"/>
        </w:rPr>
        <w:t>s</w:t>
      </w:r>
      <w:r>
        <w:rPr>
          <w:lang w:val="en-US"/>
        </w:rPr>
        <w:t xml:space="preserve"> from the Household Support Fund</w:t>
      </w:r>
      <w:r w:rsidR="003C7E83">
        <w:rPr>
          <w:lang w:val="en-US"/>
        </w:rPr>
        <w:t xml:space="preserve"> where eligible</w:t>
      </w:r>
      <w:r>
        <w:rPr>
          <w:lang w:val="en-US"/>
        </w:rPr>
        <w:t>. We</w:t>
      </w:r>
      <w:r w:rsidR="003C7E83">
        <w:rPr>
          <w:lang w:val="en-US"/>
        </w:rPr>
        <w:t xml:space="preserve"> also</w:t>
      </w:r>
      <w:r>
        <w:rPr>
          <w:lang w:val="en-US"/>
        </w:rPr>
        <w:t xml:space="preserve"> ma</w:t>
      </w:r>
      <w:r w:rsidR="003C7E83">
        <w:rPr>
          <w:lang w:val="en-US"/>
        </w:rPr>
        <w:t>d</w:t>
      </w:r>
      <w:r>
        <w:rPr>
          <w:lang w:val="en-US"/>
        </w:rPr>
        <w:t xml:space="preserve">e them aware of social groups to alleviate their loneliness. Part of the evaluation was to check for improvements in their mental wellbeing across 7 headings using the Warwick-Edinburgh model where clients self-assess their feelings at the start and the end of the </w:t>
      </w:r>
      <w:proofErr w:type="spellStart"/>
      <w:r>
        <w:rPr>
          <w:lang w:val="en-US"/>
        </w:rPr>
        <w:t>programme</w:t>
      </w:r>
      <w:proofErr w:type="spellEnd"/>
      <w:r>
        <w:rPr>
          <w:lang w:val="en-US"/>
        </w:rPr>
        <w:t xml:space="preserve">. There was improvement in all 7 areas with the biggest change in ’feeling optimistic about the future’ followed by ‘feeling useful’. The least change was in ‘thinking clearly’ and ‘able to make up my own mind’. </w:t>
      </w:r>
      <w:r w:rsidR="003F3294">
        <w:rPr>
          <w:lang w:val="en-US"/>
        </w:rPr>
        <w:t>We work with those most vulnerable people, who struggle to make ends meet. We ensure</w:t>
      </w:r>
      <w:r w:rsidR="003C7E83">
        <w:rPr>
          <w:lang w:val="en-US"/>
        </w:rPr>
        <w:t>d</w:t>
      </w:r>
      <w:r w:rsidR="003F3294">
        <w:rPr>
          <w:lang w:val="en-US"/>
        </w:rPr>
        <w:t xml:space="preserve"> that they </w:t>
      </w:r>
      <w:r w:rsidR="003C7E83">
        <w:rPr>
          <w:lang w:val="en-US"/>
        </w:rPr>
        <w:t>we</w:t>
      </w:r>
      <w:r w:rsidR="003F3294">
        <w:rPr>
          <w:lang w:val="en-US"/>
        </w:rPr>
        <w:t xml:space="preserve">re in receipt of everything they </w:t>
      </w:r>
      <w:r w:rsidR="003C7E83">
        <w:rPr>
          <w:lang w:val="en-US"/>
        </w:rPr>
        <w:t>we</w:t>
      </w:r>
      <w:r w:rsidR="003F3294">
        <w:rPr>
          <w:lang w:val="en-US"/>
        </w:rPr>
        <w:t>re entitled to</w:t>
      </w:r>
      <w:r>
        <w:rPr>
          <w:lang w:val="en-US"/>
        </w:rPr>
        <w:t xml:space="preserve"> with 16 able to gain additional income ranging from £8/month to £525/month</w:t>
      </w:r>
      <w:r w:rsidR="003C7E83">
        <w:rPr>
          <w:lang w:val="en-US"/>
        </w:rPr>
        <w:t>.</w:t>
      </w:r>
    </w:p>
    <w:p w14:paraId="2B9DEC5E" w14:textId="77777777" w:rsidR="003C7E83" w:rsidRDefault="003C7E83" w:rsidP="003F3294">
      <w:pPr>
        <w:pStyle w:val="NoSpacing"/>
        <w:tabs>
          <w:tab w:val="left" w:pos="3420"/>
        </w:tabs>
        <w:rPr>
          <w:lang w:val="en-US"/>
        </w:rPr>
      </w:pPr>
    </w:p>
    <w:p w14:paraId="7E017517" w14:textId="5710936B" w:rsidR="003F3294" w:rsidRDefault="003F3294" w:rsidP="003F3294">
      <w:pPr>
        <w:rPr>
          <w:rFonts w:eastAsia="Times New Roman" w:cstheme="minorHAnsi"/>
          <w:color w:val="333333"/>
          <w:lang w:eastAsia="en-GB"/>
        </w:rPr>
      </w:pPr>
      <w:r>
        <w:rPr>
          <w:rFonts w:eastAsia="Times New Roman" w:cstheme="minorHAnsi"/>
          <w:color w:val="333333"/>
          <w:lang w:eastAsia="en-GB"/>
        </w:rPr>
        <w:t xml:space="preserve">Our Community of Interest is people with disabilities and long-term health conditions. We are aware that we are currently supported by East Suffolk Council financially with a Service Level Agreement and with our accommodation at a very reasonable rent. We believe that the value we add to individuals and the economy through the service we provide represents great Value for Money. </w:t>
      </w:r>
      <w:r w:rsidR="00BD1145">
        <w:rPr>
          <w:rFonts w:eastAsia="Times New Roman" w:cstheme="minorHAnsi"/>
          <w:b/>
          <w:bCs/>
          <w:color w:val="333333"/>
          <w:lang w:eastAsia="en-GB"/>
        </w:rPr>
        <w:t>For every £1</w:t>
      </w:r>
      <w:r w:rsidRPr="00812C0C">
        <w:rPr>
          <w:rFonts w:eastAsia="Times New Roman" w:cstheme="minorHAnsi"/>
          <w:b/>
          <w:bCs/>
          <w:color w:val="333333"/>
          <w:lang w:eastAsia="en-GB"/>
        </w:rPr>
        <w:t xml:space="preserve"> invest</w:t>
      </w:r>
      <w:r w:rsidR="00BD1145">
        <w:rPr>
          <w:rFonts w:eastAsia="Times New Roman" w:cstheme="minorHAnsi"/>
          <w:b/>
          <w:bCs/>
          <w:color w:val="333333"/>
          <w:lang w:eastAsia="en-GB"/>
        </w:rPr>
        <w:t>ed</w:t>
      </w:r>
      <w:r w:rsidRPr="00812C0C">
        <w:rPr>
          <w:rFonts w:eastAsia="Times New Roman" w:cstheme="minorHAnsi"/>
          <w:b/>
          <w:bCs/>
          <w:color w:val="333333"/>
          <w:lang w:eastAsia="en-GB"/>
        </w:rPr>
        <w:t xml:space="preserve">  by East Suffolk Council and Suffolk County Council </w:t>
      </w:r>
      <w:r w:rsidR="00BD1145">
        <w:rPr>
          <w:rFonts w:eastAsia="Times New Roman" w:cstheme="minorHAnsi"/>
          <w:b/>
          <w:bCs/>
          <w:color w:val="333333"/>
          <w:lang w:eastAsia="en-GB"/>
        </w:rPr>
        <w:t>we help clients to gain</w:t>
      </w:r>
      <w:r w:rsidRPr="00812C0C">
        <w:rPr>
          <w:rFonts w:eastAsia="Times New Roman" w:cstheme="minorHAnsi"/>
          <w:b/>
          <w:bCs/>
          <w:color w:val="333333"/>
          <w:lang w:eastAsia="en-GB"/>
        </w:rPr>
        <w:t xml:space="preserve"> </w:t>
      </w:r>
      <w:r w:rsidR="00BD1145">
        <w:rPr>
          <w:rFonts w:eastAsia="Times New Roman" w:cstheme="minorHAnsi"/>
          <w:b/>
          <w:bCs/>
          <w:color w:val="333333"/>
          <w:lang w:eastAsia="en-GB"/>
        </w:rPr>
        <w:t>£</w:t>
      </w:r>
      <w:r w:rsidR="00812C0C" w:rsidRPr="00812C0C">
        <w:rPr>
          <w:rFonts w:eastAsia="Times New Roman" w:cstheme="minorHAnsi"/>
          <w:b/>
          <w:bCs/>
          <w:color w:val="333333"/>
          <w:lang w:eastAsia="en-GB"/>
        </w:rPr>
        <w:t>6</w:t>
      </w:r>
      <w:r w:rsidR="007971FC">
        <w:rPr>
          <w:rFonts w:eastAsia="Times New Roman" w:cstheme="minorHAnsi"/>
          <w:b/>
          <w:bCs/>
          <w:color w:val="333333"/>
          <w:lang w:eastAsia="en-GB"/>
        </w:rPr>
        <w:t>0.</w:t>
      </w:r>
      <w:r w:rsidR="00812C0C" w:rsidRPr="00812C0C">
        <w:rPr>
          <w:rFonts w:eastAsia="Times New Roman" w:cstheme="minorHAnsi"/>
          <w:b/>
          <w:bCs/>
          <w:color w:val="333333"/>
          <w:lang w:eastAsia="en-GB"/>
        </w:rPr>
        <w:t>3</w:t>
      </w:r>
      <w:r w:rsidR="007971FC">
        <w:rPr>
          <w:rFonts w:eastAsia="Times New Roman" w:cstheme="minorHAnsi"/>
          <w:b/>
          <w:bCs/>
          <w:color w:val="333333"/>
          <w:lang w:eastAsia="en-GB"/>
        </w:rPr>
        <w:t xml:space="preserve">9 </w:t>
      </w:r>
      <w:r w:rsidR="00BD1145">
        <w:rPr>
          <w:rFonts w:eastAsia="Times New Roman" w:cstheme="minorHAnsi"/>
          <w:b/>
          <w:bCs/>
          <w:color w:val="333333"/>
          <w:lang w:eastAsia="en-GB"/>
        </w:rPr>
        <w:t xml:space="preserve">in additional income </w:t>
      </w:r>
      <w:r w:rsidR="00D23559">
        <w:rPr>
          <w:rFonts w:eastAsia="Times New Roman" w:cstheme="minorHAnsi"/>
          <w:b/>
          <w:bCs/>
          <w:color w:val="333333"/>
          <w:lang w:eastAsia="en-GB"/>
        </w:rPr>
        <w:t xml:space="preserve">to spend in </w:t>
      </w:r>
      <w:r w:rsidRPr="00812C0C">
        <w:rPr>
          <w:rFonts w:eastAsia="Times New Roman" w:cstheme="minorHAnsi"/>
          <w:b/>
          <w:bCs/>
          <w:color w:val="333333"/>
          <w:lang w:eastAsia="en-GB"/>
        </w:rPr>
        <w:t>the local economy.</w:t>
      </w:r>
      <w:r>
        <w:rPr>
          <w:rFonts w:eastAsia="Times New Roman" w:cstheme="minorHAnsi"/>
          <w:color w:val="333333"/>
          <w:lang w:eastAsia="en-GB"/>
        </w:rPr>
        <w:t xml:space="preserve"> That is only the direct financial gain. We believe that we reduce demand for other services by helping people feel less anxious about money, their domestic circumstances and their general health. We are proud to be an asset to this part of Suffolk and, as a Disabled Persons</w:t>
      </w:r>
      <w:r w:rsidR="00CB2791">
        <w:rPr>
          <w:rFonts w:eastAsia="Times New Roman" w:cstheme="minorHAnsi"/>
          <w:color w:val="333333"/>
          <w:lang w:eastAsia="en-GB"/>
        </w:rPr>
        <w:t>’</w:t>
      </w:r>
      <w:r>
        <w:rPr>
          <w:rFonts w:eastAsia="Times New Roman" w:cstheme="minorHAnsi"/>
          <w:color w:val="333333"/>
          <w:lang w:eastAsia="en-GB"/>
        </w:rPr>
        <w:t xml:space="preserve"> Organisation, have a real understanding of the needs of people with disabilities. </w:t>
      </w:r>
      <w:r>
        <w:t xml:space="preserve"> </w:t>
      </w:r>
      <w:r w:rsidR="00CB2791">
        <w:t>East Suffolk Council’s Community S</w:t>
      </w:r>
      <w:r>
        <w:t xml:space="preserve">trategy talks about how ‘it is important that people look after their own mental and physical health and wellbeing. This includes managing what are known as ‘long term conditions’ such as diabetes, dementia, depression, heart disease and arthritis. We want to help people to make good choices, ensure that they do not put themselves or others at risk and encourage them to look out for and after each other’. We wholeheartedly agree with this sentiment. </w:t>
      </w:r>
      <w:r>
        <w:rPr>
          <w:rFonts w:eastAsia="Times New Roman" w:cstheme="minorHAnsi"/>
          <w:color w:val="333333"/>
          <w:lang w:eastAsia="en-GB"/>
        </w:rPr>
        <w:t>We consider ourselves to be one of the asset-based solutions  using the facilities of the whole of 161 Rotterdam Road to help to deliver the Strategy.</w:t>
      </w:r>
      <w:r w:rsidR="00944DD2">
        <w:rPr>
          <w:rFonts w:eastAsia="Times New Roman" w:cstheme="minorHAnsi"/>
          <w:color w:val="333333"/>
          <w:lang w:eastAsia="en-GB"/>
        </w:rPr>
        <w:t xml:space="preserve"> </w:t>
      </w:r>
      <w:r w:rsidR="00BB3CFD">
        <w:rPr>
          <w:rFonts w:eastAsia="Times New Roman" w:cstheme="minorHAnsi"/>
          <w:color w:val="333333"/>
          <w:lang w:eastAsia="en-GB"/>
        </w:rPr>
        <w:t>The Hub was officially opened by the MP for Lowestoft, Jess Asato, in October</w:t>
      </w:r>
      <w:r w:rsidR="00D23559">
        <w:rPr>
          <w:rFonts w:eastAsia="Times New Roman" w:cstheme="minorHAnsi"/>
          <w:color w:val="333333"/>
          <w:lang w:eastAsia="en-GB"/>
        </w:rPr>
        <w:t xml:space="preserve"> 2024</w:t>
      </w:r>
      <w:r w:rsidR="00BB3CFD">
        <w:rPr>
          <w:rFonts w:eastAsia="Times New Roman" w:cstheme="minorHAnsi"/>
          <w:color w:val="333333"/>
          <w:lang w:eastAsia="en-GB"/>
        </w:rPr>
        <w:t>.</w:t>
      </w:r>
    </w:p>
    <w:p w14:paraId="73603E1F" w14:textId="69D2F379" w:rsidR="000D30B3" w:rsidRDefault="000D30B3" w:rsidP="00936704">
      <w:pPr>
        <w:spacing w:after="158"/>
      </w:pPr>
    </w:p>
    <w:p w14:paraId="2590E6CD" w14:textId="30169010" w:rsidR="00241C2A" w:rsidRPr="00B960AD" w:rsidRDefault="00241C2A">
      <w:pPr>
        <w:rPr>
          <w:rFonts w:cstheme="minorHAnsi"/>
          <w:i/>
          <w:iCs/>
        </w:rPr>
      </w:pPr>
    </w:p>
    <w:sectPr w:rsidR="00241C2A" w:rsidRPr="00B960AD" w:rsidSect="00B555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F0F9" w14:textId="77777777" w:rsidR="006B62EF" w:rsidRDefault="006B62EF" w:rsidP="0058616A">
      <w:pPr>
        <w:spacing w:after="0" w:line="240" w:lineRule="auto"/>
      </w:pPr>
      <w:r>
        <w:separator/>
      </w:r>
    </w:p>
  </w:endnote>
  <w:endnote w:type="continuationSeparator" w:id="0">
    <w:p w14:paraId="13E7DDF9" w14:textId="77777777" w:rsidR="006B62EF" w:rsidRDefault="006B62EF" w:rsidP="0058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5FA7" w14:textId="77777777" w:rsidR="006B62EF" w:rsidRDefault="006B62EF" w:rsidP="0058616A">
      <w:pPr>
        <w:spacing w:after="0" w:line="240" w:lineRule="auto"/>
      </w:pPr>
      <w:r>
        <w:separator/>
      </w:r>
    </w:p>
  </w:footnote>
  <w:footnote w:type="continuationSeparator" w:id="0">
    <w:p w14:paraId="4481CBA8" w14:textId="77777777" w:rsidR="006B62EF" w:rsidRDefault="006B62EF" w:rsidP="00586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52D"/>
    <w:multiLevelType w:val="multilevel"/>
    <w:tmpl w:val="466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B572F"/>
    <w:multiLevelType w:val="hybridMultilevel"/>
    <w:tmpl w:val="CCD0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A2C36"/>
    <w:multiLevelType w:val="hybridMultilevel"/>
    <w:tmpl w:val="AF28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2428"/>
    <w:multiLevelType w:val="hybridMultilevel"/>
    <w:tmpl w:val="A01C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E0888"/>
    <w:multiLevelType w:val="hybridMultilevel"/>
    <w:tmpl w:val="FC28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53F80"/>
    <w:multiLevelType w:val="hybridMultilevel"/>
    <w:tmpl w:val="C486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47E5A"/>
    <w:multiLevelType w:val="hybridMultilevel"/>
    <w:tmpl w:val="39D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2797C"/>
    <w:multiLevelType w:val="hybridMultilevel"/>
    <w:tmpl w:val="D0B8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108973">
    <w:abstractNumId w:val="2"/>
  </w:num>
  <w:num w:numId="2" w16cid:durableId="179199094">
    <w:abstractNumId w:val="7"/>
  </w:num>
  <w:num w:numId="3" w16cid:durableId="931548602">
    <w:abstractNumId w:val="1"/>
  </w:num>
  <w:num w:numId="4" w16cid:durableId="1244224039">
    <w:abstractNumId w:val="6"/>
  </w:num>
  <w:num w:numId="5" w16cid:durableId="1705868346">
    <w:abstractNumId w:val="4"/>
  </w:num>
  <w:num w:numId="6" w16cid:durableId="112335538">
    <w:abstractNumId w:val="5"/>
  </w:num>
  <w:num w:numId="7" w16cid:durableId="258686553">
    <w:abstractNumId w:val="3"/>
  </w:num>
  <w:num w:numId="8" w16cid:durableId="27309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0C"/>
    <w:rsid w:val="000226F7"/>
    <w:rsid w:val="00036172"/>
    <w:rsid w:val="00046BB5"/>
    <w:rsid w:val="00054E2C"/>
    <w:rsid w:val="000649EA"/>
    <w:rsid w:val="0008137E"/>
    <w:rsid w:val="000901C1"/>
    <w:rsid w:val="000A3268"/>
    <w:rsid w:val="000A7C11"/>
    <w:rsid w:val="000D01BC"/>
    <w:rsid w:val="000D2357"/>
    <w:rsid w:val="000D30B3"/>
    <w:rsid w:val="000E7C7B"/>
    <w:rsid w:val="000F754D"/>
    <w:rsid w:val="00111C06"/>
    <w:rsid w:val="001619B5"/>
    <w:rsid w:val="001622CB"/>
    <w:rsid w:val="0016476E"/>
    <w:rsid w:val="00165B5D"/>
    <w:rsid w:val="001750C6"/>
    <w:rsid w:val="00186EE4"/>
    <w:rsid w:val="001A1FA3"/>
    <w:rsid w:val="001C5B0A"/>
    <w:rsid w:val="001D5752"/>
    <w:rsid w:val="001D7A23"/>
    <w:rsid w:val="001F6CD9"/>
    <w:rsid w:val="00202654"/>
    <w:rsid w:val="002066AA"/>
    <w:rsid w:val="002141AC"/>
    <w:rsid w:val="00227F3F"/>
    <w:rsid w:val="00241C2A"/>
    <w:rsid w:val="0024613D"/>
    <w:rsid w:val="00246804"/>
    <w:rsid w:val="00246DC2"/>
    <w:rsid w:val="002517AF"/>
    <w:rsid w:val="00262E42"/>
    <w:rsid w:val="002641D6"/>
    <w:rsid w:val="0027601E"/>
    <w:rsid w:val="002B13FC"/>
    <w:rsid w:val="002C525F"/>
    <w:rsid w:val="002F400C"/>
    <w:rsid w:val="00305C3E"/>
    <w:rsid w:val="00315627"/>
    <w:rsid w:val="0033724C"/>
    <w:rsid w:val="00341489"/>
    <w:rsid w:val="003427F1"/>
    <w:rsid w:val="0037589B"/>
    <w:rsid w:val="0037724A"/>
    <w:rsid w:val="003845E8"/>
    <w:rsid w:val="0039338C"/>
    <w:rsid w:val="003B265D"/>
    <w:rsid w:val="003C761F"/>
    <w:rsid w:val="003C7E83"/>
    <w:rsid w:val="003D640C"/>
    <w:rsid w:val="003F3294"/>
    <w:rsid w:val="00425FC1"/>
    <w:rsid w:val="004414E3"/>
    <w:rsid w:val="00454ADA"/>
    <w:rsid w:val="004552B8"/>
    <w:rsid w:val="0047031D"/>
    <w:rsid w:val="004771BD"/>
    <w:rsid w:val="00491C84"/>
    <w:rsid w:val="004A14B6"/>
    <w:rsid w:val="004A6D3B"/>
    <w:rsid w:val="004C4219"/>
    <w:rsid w:val="004D1865"/>
    <w:rsid w:val="004D720C"/>
    <w:rsid w:val="004F179B"/>
    <w:rsid w:val="005012E4"/>
    <w:rsid w:val="00504336"/>
    <w:rsid w:val="0051536D"/>
    <w:rsid w:val="0052420F"/>
    <w:rsid w:val="005427AF"/>
    <w:rsid w:val="00562565"/>
    <w:rsid w:val="005634EB"/>
    <w:rsid w:val="00564D99"/>
    <w:rsid w:val="0056752D"/>
    <w:rsid w:val="00570E52"/>
    <w:rsid w:val="00573D77"/>
    <w:rsid w:val="0057739B"/>
    <w:rsid w:val="0058616A"/>
    <w:rsid w:val="005A5713"/>
    <w:rsid w:val="005A5CD9"/>
    <w:rsid w:val="005A755C"/>
    <w:rsid w:val="005B4A01"/>
    <w:rsid w:val="005D6711"/>
    <w:rsid w:val="005E0007"/>
    <w:rsid w:val="005E12E7"/>
    <w:rsid w:val="00606B7B"/>
    <w:rsid w:val="0061723A"/>
    <w:rsid w:val="00625E51"/>
    <w:rsid w:val="00626620"/>
    <w:rsid w:val="00627A03"/>
    <w:rsid w:val="00650A57"/>
    <w:rsid w:val="006531BE"/>
    <w:rsid w:val="006600F1"/>
    <w:rsid w:val="00692292"/>
    <w:rsid w:val="0069237E"/>
    <w:rsid w:val="006A2919"/>
    <w:rsid w:val="006A51A4"/>
    <w:rsid w:val="006B5005"/>
    <w:rsid w:val="006B62EF"/>
    <w:rsid w:val="006C7C2D"/>
    <w:rsid w:val="006F4ABC"/>
    <w:rsid w:val="007018D6"/>
    <w:rsid w:val="00707B8D"/>
    <w:rsid w:val="00733E6F"/>
    <w:rsid w:val="00743009"/>
    <w:rsid w:val="00752CFD"/>
    <w:rsid w:val="00752FC7"/>
    <w:rsid w:val="00765646"/>
    <w:rsid w:val="00765973"/>
    <w:rsid w:val="00766CEB"/>
    <w:rsid w:val="007751A9"/>
    <w:rsid w:val="0078067B"/>
    <w:rsid w:val="007971FC"/>
    <w:rsid w:val="007A3ADD"/>
    <w:rsid w:val="007A4F68"/>
    <w:rsid w:val="007B0A08"/>
    <w:rsid w:val="00800A2A"/>
    <w:rsid w:val="008015B0"/>
    <w:rsid w:val="00812C0C"/>
    <w:rsid w:val="008324E2"/>
    <w:rsid w:val="00834244"/>
    <w:rsid w:val="008415D4"/>
    <w:rsid w:val="0086089F"/>
    <w:rsid w:val="00871875"/>
    <w:rsid w:val="008744C9"/>
    <w:rsid w:val="008776AC"/>
    <w:rsid w:val="008931DB"/>
    <w:rsid w:val="00896306"/>
    <w:rsid w:val="008A2CE0"/>
    <w:rsid w:val="008A4019"/>
    <w:rsid w:val="008D1AD7"/>
    <w:rsid w:val="008E1274"/>
    <w:rsid w:val="008E1F48"/>
    <w:rsid w:val="008F48D3"/>
    <w:rsid w:val="00914BC7"/>
    <w:rsid w:val="009258FA"/>
    <w:rsid w:val="009319D6"/>
    <w:rsid w:val="00936704"/>
    <w:rsid w:val="00943350"/>
    <w:rsid w:val="00943442"/>
    <w:rsid w:val="00944DD2"/>
    <w:rsid w:val="0094636D"/>
    <w:rsid w:val="009468BC"/>
    <w:rsid w:val="0094753D"/>
    <w:rsid w:val="0096070F"/>
    <w:rsid w:val="00963EF9"/>
    <w:rsid w:val="00967FB2"/>
    <w:rsid w:val="00974863"/>
    <w:rsid w:val="009920E0"/>
    <w:rsid w:val="0099418E"/>
    <w:rsid w:val="009972A7"/>
    <w:rsid w:val="009A0E86"/>
    <w:rsid w:val="009B10AA"/>
    <w:rsid w:val="009C1FBF"/>
    <w:rsid w:val="009D27C7"/>
    <w:rsid w:val="00A072A2"/>
    <w:rsid w:val="00A50981"/>
    <w:rsid w:val="00A60ECC"/>
    <w:rsid w:val="00A63DD8"/>
    <w:rsid w:val="00A657ED"/>
    <w:rsid w:val="00A73CC3"/>
    <w:rsid w:val="00A7642E"/>
    <w:rsid w:val="00A817C2"/>
    <w:rsid w:val="00A95662"/>
    <w:rsid w:val="00AA4CA9"/>
    <w:rsid w:val="00AB63AA"/>
    <w:rsid w:val="00AB65B5"/>
    <w:rsid w:val="00AB6652"/>
    <w:rsid w:val="00AD6B89"/>
    <w:rsid w:val="00AE16A6"/>
    <w:rsid w:val="00AE6091"/>
    <w:rsid w:val="00AF0E5D"/>
    <w:rsid w:val="00AF1134"/>
    <w:rsid w:val="00AF4401"/>
    <w:rsid w:val="00B036D7"/>
    <w:rsid w:val="00B05E5D"/>
    <w:rsid w:val="00B25CF6"/>
    <w:rsid w:val="00B425C9"/>
    <w:rsid w:val="00B555CD"/>
    <w:rsid w:val="00B65BB5"/>
    <w:rsid w:val="00B71561"/>
    <w:rsid w:val="00B72BBA"/>
    <w:rsid w:val="00B81D8B"/>
    <w:rsid w:val="00B85EA9"/>
    <w:rsid w:val="00B960AD"/>
    <w:rsid w:val="00BB3CFD"/>
    <w:rsid w:val="00BD1145"/>
    <w:rsid w:val="00BE4054"/>
    <w:rsid w:val="00BE5FDF"/>
    <w:rsid w:val="00C243A1"/>
    <w:rsid w:val="00C2498B"/>
    <w:rsid w:val="00C45481"/>
    <w:rsid w:val="00C83B6D"/>
    <w:rsid w:val="00C85CFF"/>
    <w:rsid w:val="00C87D5F"/>
    <w:rsid w:val="00CB13D6"/>
    <w:rsid w:val="00CB2791"/>
    <w:rsid w:val="00CB58CB"/>
    <w:rsid w:val="00CC32AE"/>
    <w:rsid w:val="00CD0F91"/>
    <w:rsid w:val="00D226B8"/>
    <w:rsid w:val="00D23559"/>
    <w:rsid w:val="00D25EF6"/>
    <w:rsid w:val="00D361E3"/>
    <w:rsid w:val="00D44416"/>
    <w:rsid w:val="00D74551"/>
    <w:rsid w:val="00DB53EC"/>
    <w:rsid w:val="00DB69A4"/>
    <w:rsid w:val="00DC6AAE"/>
    <w:rsid w:val="00DD4739"/>
    <w:rsid w:val="00DE431E"/>
    <w:rsid w:val="00DE7F7B"/>
    <w:rsid w:val="00DF6899"/>
    <w:rsid w:val="00E065C9"/>
    <w:rsid w:val="00E12C24"/>
    <w:rsid w:val="00E13F97"/>
    <w:rsid w:val="00E14000"/>
    <w:rsid w:val="00E345B2"/>
    <w:rsid w:val="00E45C22"/>
    <w:rsid w:val="00E64849"/>
    <w:rsid w:val="00E8544A"/>
    <w:rsid w:val="00E90FD7"/>
    <w:rsid w:val="00E9458B"/>
    <w:rsid w:val="00E956EA"/>
    <w:rsid w:val="00EB3BED"/>
    <w:rsid w:val="00EB4533"/>
    <w:rsid w:val="00EC3BF8"/>
    <w:rsid w:val="00ED4225"/>
    <w:rsid w:val="00ED4499"/>
    <w:rsid w:val="00EE3EE1"/>
    <w:rsid w:val="00EE4DF7"/>
    <w:rsid w:val="00EE7905"/>
    <w:rsid w:val="00F0019D"/>
    <w:rsid w:val="00F04562"/>
    <w:rsid w:val="00F234A7"/>
    <w:rsid w:val="00F32308"/>
    <w:rsid w:val="00F3763B"/>
    <w:rsid w:val="00F81610"/>
    <w:rsid w:val="00F90B61"/>
    <w:rsid w:val="00F90E6B"/>
    <w:rsid w:val="00FA7F64"/>
    <w:rsid w:val="00FB1A38"/>
    <w:rsid w:val="00FE2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250C"/>
  <w15:chartTrackingRefBased/>
  <w15:docId w15:val="{A23BD876-41F8-4E1F-81E5-3B4AEC2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6306"/>
    <w:pPr>
      <w:spacing w:before="100" w:beforeAutospacing="1" w:after="100" w:afterAutospacing="1" w:line="240" w:lineRule="auto"/>
    </w:pPr>
    <w:rPr>
      <w:rFonts w:ascii="Calibri" w:hAnsi="Calibri" w:cs="Calibri"/>
      <w:lang w:eastAsia="en-GB"/>
    </w:rPr>
  </w:style>
  <w:style w:type="table" w:styleId="TableGrid">
    <w:name w:val="Table Grid"/>
    <w:basedOn w:val="TableNormal"/>
    <w:rsid w:val="008963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16A"/>
  </w:style>
  <w:style w:type="paragraph" w:styleId="Footer">
    <w:name w:val="footer"/>
    <w:basedOn w:val="Normal"/>
    <w:link w:val="FooterChar"/>
    <w:uiPriority w:val="99"/>
    <w:unhideWhenUsed/>
    <w:rsid w:val="00586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16A"/>
  </w:style>
  <w:style w:type="table" w:customStyle="1" w:styleId="TableGrid2">
    <w:name w:val="Table Grid2"/>
    <w:basedOn w:val="TableNormal"/>
    <w:next w:val="TableGrid"/>
    <w:uiPriority w:val="39"/>
    <w:rsid w:val="001D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FC7"/>
    <w:pPr>
      <w:ind w:left="720"/>
      <w:contextualSpacing/>
    </w:pPr>
  </w:style>
  <w:style w:type="paragraph" w:customStyle="1" w:styleId="Default">
    <w:name w:val="Default"/>
    <w:rsid w:val="00E9458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F754D"/>
    <w:pPr>
      <w:spacing w:after="0" w:line="240" w:lineRule="auto"/>
    </w:pPr>
  </w:style>
  <w:style w:type="character" w:styleId="Strong">
    <w:name w:val="Strong"/>
    <w:basedOn w:val="DefaultParagraphFont"/>
    <w:uiPriority w:val="22"/>
    <w:qFormat/>
    <w:rsid w:val="001F6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2224</Words>
  <Characters>10725</Characters>
  <Application>Microsoft Office Word</Application>
  <DocSecurity>0</DocSecurity>
  <Lines>297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Riches</dc:creator>
  <cp:keywords/>
  <dc:description/>
  <cp:lastModifiedBy>SARA WRINCH</cp:lastModifiedBy>
  <cp:revision>2</cp:revision>
  <cp:lastPrinted>2025-05-12T16:11:00Z</cp:lastPrinted>
  <dcterms:created xsi:type="dcterms:W3CDTF">2026-04-30T20:08:00Z</dcterms:created>
  <dcterms:modified xsi:type="dcterms:W3CDTF">2026-04-30T20:08:00Z</dcterms:modified>
</cp:coreProperties>
</file>